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8D" w:rsidRDefault="004B108D" w:rsidP="004B108D">
      <w:pPr>
        <w:jc w:val="center"/>
        <w:rPr>
          <w:rFonts w:ascii="Arial" w:hAnsi="Arial" w:cs="Arial"/>
          <w:b/>
          <w:bCs/>
          <w:color w:val="000000"/>
          <w:sz w:val="20"/>
          <w:szCs w:val="20"/>
        </w:rPr>
      </w:pPr>
      <w:r w:rsidRPr="004B108D">
        <w:rPr>
          <w:rFonts w:ascii="Arial" w:hAnsi="Arial" w:cs="Arial"/>
          <w:b/>
          <w:bCs/>
          <w:color w:val="000000"/>
          <w:sz w:val="20"/>
          <w:szCs w:val="20"/>
        </w:rPr>
        <w:t>Operations of Small Finance Banks</w:t>
      </w:r>
    </w:p>
    <w:p w:rsidR="004B108D" w:rsidRDefault="004B108D" w:rsidP="004B108D">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846"/>
        <w:gridCol w:w="8170"/>
      </w:tblGrid>
      <w:tr w:rsidR="004B108D" w:rsidTr="004B108D">
        <w:tc>
          <w:tcPr>
            <w:tcW w:w="846" w:type="dxa"/>
          </w:tcPr>
          <w:p w:rsidR="004B108D" w:rsidRPr="004B108D" w:rsidRDefault="004B108D" w:rsidP="004B108D">
            <w:pPr>
              <w:jc w:val="center"/>
              <w:rPr>
                <w:rFonts w:ascii="Arial" w:hAnsi="Arial" w:cs="Arial"/>
                <w:b/>
                <w:bCs/>
                <w:color w:val="000000"/>
                <w:sz w:val="18"/>
                <w:szCs w:val="18"/>
              </w:rPr>
            </w:pPr>
            <w:proofErr w:type="spellStart"/>
            <w:r w:rsidRPr="004B108D">
              <w:rPr>
                <w:rFonts w:ascii="Arial" w:hAnsi="Arial" w:cs="Arial"/>
                <w:b/>
                <w:bCs/>
                <w:color w:val="000000"/>
                <w:sz w:val="18"/>
                <w:szCs w:val="18"/>
              </w:rPr>
              <w:t>Sr.No</w:t>
            </w:r>
            <w:proofErr w:type="spellEnd"/>
            <w:r w:rsidRPr="004B108D">
              <w:rPr>
                <w:rFonts w:ascii="Arial" w:hAnsi="Arial" w:cs="Arial"/>
                <w:b/>
                <w:bCs/>
                <w:color w:val="000000"/>
                <w:sz w:val="18"/>
                <w:szCs w:val="18"/>
              </w:rPr>
              <w:t>.</w:t>
            </w:r>
          </w:p>
        </w:tc>
        <w:tc>
          <w:tcPr>
            <w:tcW w:w="8170" w:type="dxa"/>
          </w:tcPr>
          <w:p w:rsidR="004B108D" w:rsidRPr="004B108D" w:rsidRDefault="004B108D" w:rsidP="004B108D">
            <w:pPr>
              <w:jc w:val="center"/>
              <w:rPr>
                <w:rFonts w:ascii="Arial" w:hAnsi="Arial" w:cs="Arial"/>
                <w:b/>
                <w:bCs/>
                <w:color w:val="000000"/>
                <w:sz w:val="18"/>
                <w:szCs w:val="18"/>
              </w:rPr>
            </w:pPr>
            <w:r w:rsidRPr="004B108D">
              <w:rPr>
                <w:rFonts w:ascii="Arial" w:hAnsi="Arial" w:cs="Arial"/>
                <w:b/>
                <w:bCs/>
                <w:color w:val="000000"/>
                <w:sz w:val="18"/>
                <w:szCs w:val="18"/>
              </w:rPr>
              <w:t>RBI Notifications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4B108D" w:rsidRDefault="004B108D" w:rsidP="004B108D">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Government Agency Business Arrangement – Appointment of Scheduled Private Sector Banks as Agency Banks of Reserve Bank of India (RBI)</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Integrated Ombudsman Scheme, 2021</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Foreign Currency (Non-resident) Accounts (Banks) Scheme [FCNR(B)] - Master Direction on Interest Rate on Deposits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Opening of Current Accounts by Banks - Need for Discipline</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Gold Monetization Scheme (GMS), 2015</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Master Direction – Reserve Bank of India (Securitisation of Standard Assets) Directions, 2021</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Guidelines on Compensation of Whole Time Directors/ Chief Executive Officers/ Material Risk Takers and Control Function staff - Clarification</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16</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Enhancements to Indo-Nepal Remittance Facility Scheme</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17</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18</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Safe Deposit Locker/Safe Custody Article Facility provided by the banks - Revised Instructions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19</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Monitoring of Availability of Cash in ATMs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20</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Guidelines for Implementation of the circular on Opening of Current Accounts by Banks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21</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22</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Cassette - Swaps in ATMs</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23</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4B108D" w:rsidTr="0094172B">
        <w:tc>
          <w:tcPr>
            <w:tcW w:w="846" w:type="dxa"/>
          </w:tcPr>
          <w:p w:rsidR="004B108D" w:rsidRPr="004B108D" w:rsidRDefault="004B108D" w:rsidP="004B108D">
            <w:pPr>
              <w:jc w:val="center"/>
              <w:rPr>
                <w:rFonts w:cstheme="minorHAnsi"/>
                <w:bCs/>
                <w:color w:val="000000"/>
                <w:sz w:val="20"/>
                <w:szCs w:val="20"/>
              </w:rPr>
            </w:pPr>
            <w:r w:rsidRPr="004B108D">
              <w:rPr>
                <w:rFonts w:cstheme="minorHAnsi"/>
                <w:bCs/>
                <w:color w:val="000000"/>
                <w:sz w:val="20"/>
                <w:szCs w:val="20"/>
              </w:rPr>
              <w:t>24</w:t>
            </w:r>
          </w:p>
        </w:tc>
        <w:tc>
          <w:tcPr>
            <w:tcW w:w="8170" w:type="dxa"/>
            <w:tcBorders>
              <w:top w:val="nil"/>
              <w:left w:val="single" w:sz="4" w:space="0" w:color="auto"/>
              <w:bottom w:val="single" w:sz="4" w:space="0" w:color="auto"/>
              <w:right w:val="single" w:sz="4" w:space="0" w:color="auto"/>
            </w:tcBorders>
            <w:shd w:val="clear" w:color="auto" w:fill="auto"/>
            <w:vAlign w:val="center"/>
          </w:tcPr>
          <w:p w:rsidR="004B108D" w:rsidRDefault="004B108D" w:rsidP="004B108D">
            <w:pPr>
              <w:rPr>
                <w:rFonts w:ascii="Calibri" w:hAnsi="Calibri" w:cs="Calibri"/>
                <w:sz w:val="20"/>
                <w:szCs w:val="20"/>
              </w:rPr>
            </w:pPr>
            <w:r>
              <w:rPr>
                <w:rFonts w:ascii="Calibri" w:hAnsi="Calibri" w:cs="Calibri"/>
                <w:sz w:val="20"/>
                <w:szCs w:val="20"/>
              </w:rPr>
              <w:t>Review of Instructions on Interest on overdue domestic deposits</w:t>
            </w:r>
          </w:p>
        </w:tc>
      </w:tr>
    </w:tbl>
    <w:p w:rsidR="004B108D" w:rsidRDefault="004B108D" w:rsidP="004B108D">
      <w:pPr>
        <w:rPr>
          <w:rFonts w:ascii="Arial" w:hAnsi="Arial" w:cs="Arial"/>
          <w:b/>
          <w:bCs/>
          <w:color w:val="000000"/>
          <w:sz w:val="20"/>
          <w:szCs w:val="20"/>
        </w:rPr>
      </w:pPr>
    </w:p>
    <w:p w:rsidR="004B108D" w:rsidRDefault="004B108D" w:rsidP="0027555A">
      <w:pPr>
        <w:rPr>
          <w:rFonts w:ascii="Arial" w:hAnsi="Arial" w:cs="Arial"/>
          <w:b/>
          <w:bCs/>
          <w:color w:val="000000"/>
          <w:sz w:val="20"/>
          <w:szCs w:val="20"/>
        </w:rPr>
      </w:pPr>
    </w:p>
    <w:p w:rsidR="0027555A" w:rsidRDefault="0027555A" w:rsidP="0027555A">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27555A" w:rsidRDefault="0027555A" w:rsidP="0027555A">
      <w:r>
        <w:t>RBI/2021-22/144</w:t>
      </w:r>
      <w:r>
        <w:br/>
        <w:t>DOR.AML.REC.74/14.01.001/2021-22</w:t>
      </w:r>
    </w:p>
    <w:p w:rsidR="0027555A" w:rsidRDefault="0027555A" w:rsidP="0027555A">
      <w:r>
        <w:t>December 30, 2021</w:t>
      </w:r>
    </w:p>
    <w:p w:rsidR="0027555A" w:rsidRDefault="0027555A" w:rsidP="0027555A">
      <w:r>
        <w:t>The Chairpersons/ CEOs of all the Regulated Entities</w:t>
      </w:r>
    </w:p>
    <w:p w:rsidR="0027555A" w:rsidRDefault="0027555A" w:rsidP="0027555A">
      <w:r>
        <w:t>Madam/Dear Sir,</w:t>
      </w:r>
    </w:p>
    <w:p w:rsidR="0027555A" w:rsidRDefault="0027555A" w:rsidP="0027555A">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27555A" w:rsidRDefault="0027555A" w:rsidP="0027555A">
      <w:r>
        <w:lastRenderedPageBreak/>
        <w:t>Please refer to our </w:t>
      </w:r>
      <w:hyperlink r:id="rId5" w:tgtFrame="_blank" w:history="1">
        <w:r>
          <w:rPr>
            <w:rStyle w:val="Hyperlink"/>
          </w:rPr>
          <w:t>circular DOR.AML.REC 13/14.01.001/2021-22 dated May 5, 2021</w:t>
        </w:r>
      </w:hyperlink>
      <w:r>
        <w:t>, on the captioned subject.</w:t>
      </w:r>
    </w:p>
    <w:p w:rsidR="0027555A" w:rsidRDefault="0027555A" w:rsidP="0027555A">
      <w:r>
        <w:t>2. In view of the prevalent uncertainty due to new variant of Covid-19, the relaxation provided in the aforementioned circular is hereby extended till March 31, 2022.</w:t>
      </w:r>
    </w:p>
    <w:p w:rsidR="0027555A" w:rsidRDefault="0027555A" w:rsidP="0027555A">
      <w:r>
        <w:t>Yours faithfully,</w:t>
      </w:r>
    </w:p>
    <w:p w:rsidR="0027555A" w:rsidRDefault="0027555A" w:rsidP="0027555A">
      <w:r>
        <w:t xml:space="preserve">(Prakash </w:t>
      </w:r>
      <w:proofErr w:type="spellStart"/>
      <w:r>
        <w:t>Baliarsingh</w:t>
      </w:r>
      <w:proofErr w:type="spellEnd"/>
      <w:r>
        <w:t>)</w:t>
      </w:r>
      <w:r>
        <w:br/>
        <w:t>Chief General Manager</w:t>
      </w:r>
    </w:p>
    <w:p w:rsidR="0027555A" w:rsidRDefault="0027555A" w:rsidP="0027555A">
      <w:r>
        <w:t xml:space="preserve">Reference Link: </w:t>
      </w:r>
      <w:hyperlink r:id="rId6" w:history="1">
        <w:r>
          <w:rPr>
            <w:rStyle w:val="Hyperlink"/>
          </w:rPr>
          <w:t>https://www.rbi.org.in/Scripts/NotificationUser.aspx?Id=12213&amp;Mode=0</w:t>
        </w:r>
      </w:hyperlink>
    </w:p>
    <w:p w:rsidR="0027555A" w:rsidRDefault="0027555A" w:rsidP="0027555A"/>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Government Agency Business Arrangement – Appointment of Scheduled Private Sector Banks as Agency Banks of Reserve Bank of India (RBI)</w:t>
      </w:r>
    </w:p>
    <w:p w:rsidR="0027555A" w:rsidRDefault="0027555A" w:rsidP="0027555A">
      <w:r>
        <w:t>RBI/2021-22/140</w:t>
      </w:r>
      <w:r>
        <w:br/>
        <w:t>CO.DGBA.GBD.No.S1112/42-01-033/2021-2022</w:t>
      </w:r>
    </w:p>
    <w:p w:rsidR="0027555A" w:rsidRDefault="0027555A" w:rsidP="0027555A">
      <w:r>
        <w:t>December 15, 2021</w:t>
      </w:r>
    </w:p>
    <w:p w:rsidR="0027555A" w:rsidRDefault="0027555A" w:rsidP="0027555A">
      <w:r>
        <w:t>All Scheduled Payments Banks and Scheduled Small Finance Banks in India</w:t>
      </w:r>
    </w:p>
    <w:p w:rsidR="0027555A" w:rsidRDefault="0027555A" w:rsidP="0027555A">
      <w:r>
        <w:t>Dear Sir / Madam</w:t>
      </w:r>
    </w:p>
    <w:p w:rsidR="0027555A" w:rsidRDefault="0027555A" w:rsidP="0027555A">
      <w:pPr>
        <w:rPr>
          <w:b/>
          <w:bCs/>
        </w:rPr>
      </w:pPr>
      <w:r>
        <w:rPr>
          <w:b/>
          <w:bCs/>
        </w:rPr>
        <w:t>Government Agency Business Arrangement – Appointment of Scheduled Private Sector Banks as Agency Banks of Reserve Bank of India (RBI)</w:t>
      </w:r>
    </w:p>
    <w:p w:rsidR="0027555A" w:rsidRDefault="0027555A" w:rsidP="0027555A">
      <w:r>
        <w:t>Please refer to </w:t>
      </w:r>
      <w:hyperlink r:id="rId7" w:tgtFrame="_blank" w:history="1">
        <w:r>
          <w:rPr>
            <w:rStyle w:val="Hyperlink"/>
          </w:rPr>
          <w:t>RBI Circular RBI/2021-22/36; CO.DGBA.GBD.No.S77/42.01.033/2021-22 dated May 10, 2021</w:t>
        </w:r>
      </w:hyperlink>
      <w:r>
        <w:t> on the captioned subject.</w:t>
      </w:r>
    </w:p>
    <w:p w:rsidR="0027555A" w:rsidRDefault="0027555A" w:rsidP="0027555A">
      <w:r>
        <w:t>2. It has now been decided in consultation with the Department of Financial Services, Ministry of Finance, Government of India, to make scheduled payments banks and scheduled small finance banks eligible to conduct Government agency business. Any payment bank or small finance bank that intends to undertake Government agency business may be appointed as an agent of RBI upon execution of an agreement with RBI, provided that the overarching regulatory framework prescribed for these banks is complied with.</w:t>
      </w:r>
    </w:p>
    <w:p w:rsidR="0027555A" w:rsidRDefault="0027555A" w:rsidP="0027555A">
      <w:r>
        <w:t>3. All the instructions/conditions prescribed in our aforesaid </w:t>
      </w:r>
      <w:hyperlink r:id="rId8" w:tgtFrame="_blank" w:history="1">
        <w:r>
          <w:rPr>
            <w:rStyle w:val="Hyperlink"/>
          </w:rPr>
          <w:t>Circular dated May 10, 2021</w:t>
        </w:r>
      </w:hyperlink>
      <w:r>
        <w:t> will henceforth be applicable to the scheduled payments banks and scheduled small finance banks also.</w:t>
      </w:r>
    </w:p>
    <w:p w:rsidR="0027555A" w:rsidRDefault="0027555A" w:rsidP="0027555A">
      <w:r>
        <w:t>Yours faithfully</w:t>
      </w:r>
    </w:p>
    <w:p w:rsidR="0027555A" w:rsidRDefault="0027555A" w:rsidP="0027555A">
      <w:r>
        <w:t xml:space="preserve">(R. </w:t>
      </w:r>
      <w:proofErr w:type="spellStart"/>
      <w:r>
        <w:t>Kamalakannan</w:t>
      </w:r>
      <w:proofErr w:type="spellEnd"/>
      <w:r>
        <w:t>)</w:t>
      </w:r>
      <w:r>
        <w:br/>
        <w:t>Chief General Manager</w:t>
      </w:r>
    </w:p>
    <w:p w:rsidR="0027555A" w:rsidRDefault="0027555A" w:rsidP="0027555A">
      <w:r>
        <w:t xml:space="preserve">Reference Link: </w:t>
      </w:r>
      <w:hyperlink r:id="rId9" w:history="1">
        <w:r>
          <w:rPr>
            <w:rStyle w:val="Hyperlink"/>
          </w:rPr>
          <w:t>https://www.rbi.org.in/Scripts/NotificationUser.aspx?Id=12209&amp;Mode=0</w:t>
        </w:r>
      </w:hyperlink>
    </w:p>
    <w:p w:rsidR="0027555A" w:rsidRDefault="0027555A"/>
    <w:p w:rsidR="0027555A" w:rsidRDefault="0027555A">
      <w:pPr>
        <w:spacing w:line="259" w:lineRule="auto"/>
      </w:pPr>
      <w:r>
        <w:br w:type="page"/>
      </w:r>
    </w:p>
    <w:p w:rsidR="0027555A" w:rsidRDefault="0027555A" w:rsidP="0027555A">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rsidR="0027555A" w:rsidRDefault="0027555A" w:rsidP="0027555A">
      <w:r>
        <w:t>RBI/2021-22/138</w:t>
      </w:r>
      <w:r>
        <w:br/>
        <w:t>DOR.RET.REC.73/12.01.001/2021-22</w:t>
      </w:r>
    </w:p>
    <w:p w:rsidR="0027555A" w:rsidRDefault="0027555A" w:rsidP="0027555A">
      <w:r>
        <w:t>December 10, 2021</w:t>
      </w:r>
    </w:p>
    <w:p w:rsidR="0027555A" w:rsidRDefault="0027555A" w:rsidP="0027555A">
      <w:r>
        <w:t>All Scheduled Banks</w:t>
      </w:r>
    </w:p>
    <w:p w:rsidR="0027555A" w:rsidRDefault="0027555A" w:rsidP="0027555A">
      <w:r>
        <w:t>Madam/Sir,</w:t>
      </w:r>
    </w:p>
    <w:p w:rsidR="0027555A" w:rsidRDefault="0027555A" w:rsidP="0027555A">
      <w:pPr>
        <w:rPr>
          <w:b/>
          <w:bCs/>
        </w:rPr>
      </w:pPr>
      <w:r>
        <w:rPr>
          <w:b/>
          <w:bCs/>
        </w:rPr>
        <w:t>Section 24 of the Banking Regulation Act, 1949 – Maintenance of Statutory Liquidity Ratio (SLR) – Marginal Standing Facility (MSF) - return to the normal dispensation</w:t>
      </w:r>
    </w:p>
    <w:p w:rsidR="0027555A" w:rsidRDefault="0027555A" w:rsidP="0027555A">
      <w:r>
        <w:t>Please refer to </w:t>
      </w:r>
      <w:hyperlink r:id="rId10" w:tgtFrame="_blank" w:history="1">
        <w:r>
          <w:rPr>
            <w:rStyle w:val="Hyperlink"/>
          </w:rPr>
          <w:t>circular DOR.RET.REC.36/12.01.001/2021-22 dated August 09, 2021</w:t>
        </w:r>
      </w:hyperlink>
      <w:r>
        <w:t> and paragraph 15(</w:t>
      </w:r>
      <w:proofErr w:type="spellStart"/>
      <w:r>
        <w:t>i</w:t>
      </w:r>
      <w:proofErr w:type="spellEnd"/>
      <w:r>
        <w:t>) of the </w:t>
      </w:r>
      <w:hyperlink r:id="rId11"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12" w:tgtFrame="_blank" w:history="1">
        <w:r>
          <w:rPr>
            <w:rStyle w:val="Hyperlink"/>
          </w:rPr>
          <w:t>circular DOR.RET.REC.36/12.01.001/2021-22 dated August 09, 2021</w:t>
        </w:r>
      </w:hyperlink>
      <w:r>
        <w:t>.</w:t>
      </w:r>
    </w:p>
    <w:p w:rsidR="0027555A" w:rsidRDefault="0027555A" w:rsidP="0027555A">
      <w:r>
        <w:t>2. As announced in the </w:t>
      </w:r>
      <w:hyperlink r:id="rId13"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27555A" w:rsidRDefault="0027555A" w:rsidP="0027555A">
      <w:r>
        <w:t>Yours faithfully,</w:t>
      </w:r>
    </w:p>
    <w:p w:rsidR="0027555A" w:rsidRDefault="0027555A" w:rsidP="0027555A">
      <w:r>
        <w:t>(Thomas Mathew)</w:t>
      </w:r>
      <w:r>
        <w:br/>
        <w:t>Chief General Manager</w:t>
      </w:r>
    </w:p>
    <w:p w:rsidR="0027555A" w:rsidRDefault="0027555A" w:rsidP="0027555A">
      <w:r>
        <w:t xml:space="preserve">Reference link: </w:t>
      </w:r>
      <w:hyperlink r:id="rId14" w:history="1">
        <w:r>
          <w:rPr>
            <w:rStyle w:val="Hyperlink"/>
          </w:rPr>
          <w:t>https://www.rbi.org.in/Scripts/NotificationUser.aspx?Id=12207&amp;Mode=0</w:t>
        </w:r>
      </w:hyperlink>
    </w:p>
    <w:p w:rsidR="0027555A" w:rsidRDefault="0027555A" w:rsidP="0027555A"/>
    <w:p w:rsidR="0027555A" w:rsidRDefault="0027555A"/>
    <w:p w:rsidR="0027555A" w:rsidRDefault="0027555A">
      <w:pPr>
        <w:spacing w:line="259" w:lineRule="auto"/>
      </w:pPr>
      <w:r>
        <w:br w:type="page"/>
      </w:r>
    </w:p>
    <w:p w:rsidR="0027555A" w:rsidRDefault="0027555A" w:rsidP="0027555A"/>
    <w:p w:rsidR="0027555A" w:rsidRDefault="0027555A" w:rsidP="0027555A">
      <w:pPr>
        <w:rPr>
          <w:rFonts w:ascii="Arial" w:hAnsi="Arial" w:cs="Arial"/>
          <w:b/>
          <w:bCs/>
          <w:color w:val="000000"/>
          <w:sz w:val="20"/>
          <w:szCs w:val="20"/>
        </w:rPr>
      </w:pPr>
      <w:r>
        <w:rPr>
          <w:rFonts w:ascii="Arial" w:hAnsi="Arial" w:cs="Arial"/>
          <w:b/>
          <w:bCs/>
          <w:color w:val="000000"/>
          <w:sz w:val="20"/>
          <w:szCs w:val="20"/>
        </w:rPr>
        <w:t>Prudential norms on Income Recognition, Asset Classification and Provisioning pertaining to Advances – Clarifications</w:t>
      </w:r>
    </w:p>
    <w:p w:rsidR="0027555A" w:rsidRDefault="0027555A" w:rsidP="0027555A">
      <w:r>
        <w:t>RBI/2021-2022/125</w:t>
      </w:r>
      <w:r>
        <w:br/>
        <w:t>DOR.STR.REC.68/21.04.048/2021-22</w:t>
      </w:r>
    </w:p>
    <w:p w:rsidR="0027555A" w:rsidRDefault="0027555A" w:rsidP="0027555A">
      <w:r>
        <w:t>November 12, 2021</w:t>
      </w:r>
    </w:p>
    <w:p w:rsidR="0027555A" w:rsidRDefault="0027555A" w:rsidP="0027555A">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27555A" w:rsidRDefault="0027555A" w:rsidP="0027555A">
      <w:r>
        <w:t>Madam/Dear Sir,</w:t>
      </w:r>
    </w:p>
    <w:p w:rsidR="0027555A" w:rsidRDefault="0027555A" w:rsidP="0027555A">
      <w:pPr>
        <w:rPr>
          <w:b/>
          <w:bCs/>
        </w:rPr>
      </w:pPr>
      <w:r>
        <w:rPr>
          <w:b/>
          <w:bCs/>
        </w:rPr>
        <w:t>Prudential norms on Income Recognition, Asset Classification and Provisioning pertaining to Advances - Clarifications</w:t>
      </w:r>
    </w:p>
    <w:p w:rsidR="0027555A" w:rsidRDefault="0027555A" w:rsidP="0027555A">
      <w:r>
        <w:t>Please refer to the </w:t>
      </w:r>
      <w:hyperlink r:id="rId15"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27555A" w:rsidRDefault="0027555A" w:rsidP="0027555A">
      <w:pPr>
        <w:rPr>
          <w:b/>
          <w:bCs/>
        </w:rPr>
      </w:pPr>
      <w:r>
        <w:rPr>
          <w:b/>
          <w:bCs/>
        </w:rPr>
        <w:t>A. Specification of due date/repayment date</w:t>
      </w:r>
    </w:p>
    <w:p w:rsidR="0027555A" w:rsidRDefault="0027555A" w:rsidP="0027555A">
      <w:pPr>
        <w:rPr>
          <w:b/>
          <w:bCs/>
        </w:rPr>
      </w:pPr>
      <w:r>
        <w:rPr>
          <w:b/>
          <w:bCs/>
        </w:rPr>
        <w:t>B. Classification as Special Mention Account (SMA) and Non-Performing Asset (NPA)</w:t>
      </w:r>
    </w:p>
    <w:p w:rsidR="0027555A" w:rsidRDefault="0027555A" w:rsidP="0027555A">
      <w:pPr>
        <w:rPr>
          <w:b/>
          <w:bCs/>
        </w:rPr>
      </w:pPr>
      <w:r>
        <w:rPr>
          <w:b/>
          <w:bCs/>
        </w:rPr>
        <w:t>C. Clarification regarding definition of ‘out of order’</w:t>
      </w:r>
    </w:p>
    <w:p w:rsidR="0027555A" w:rsidRDefault="0027555A" w:rsidP="0027555A">
      <w:r>
        <w:rPr>
          <w:b/>
          <w:bCs/>
        </w:rPr>
        <w:t>D. NPA classification in case of interest payments</w:t>
      </w:r>
    </w:p>
    <w:p w:rsidR="0027555A" w:rsidRDefault="0027555A" w:rsidP="0027555A">
      <w:r>
        <w:rPr>
          <w:b/>
          <w:bCs/>
        </w:rPr>
        <w:t>E. Upgradation of accounts classified as NPAs</w:t>
      </w:r>
    </w:p>
    <w:p w:rsidR="0027555A" w:rsidRDefault="0027555A" w:rsidP="0027555A">
      <w:pPr>
        <w:rPr>
          <w:b/>
          <w:bCs/>
        </w:rPr>
      </w:pPr>
      <w:r>
        <w:rPr>
          <w:b/>
          <w:bCs/>
        </w:rPr>
        <w:t>F. Income recognition policy for loans with moratorium on payment of interest</w:t>
      </w:r>
    </w:p>
    <w:p w:rsidR="0027555A" w:rsidRDefault="0027555A" w:rsidP="0027555A">
      <w:r>
        <w:rPr>
          <w:b/>
          <w:bCs/>
        </w:rPr>
        <w:t>G. Consumer Education</w:t>
      </w:r>
    </w:p>
    <w:p w:rsidR="0027555A" w:rsidRDefault="0027555A" w:rsidP="0027555A"/>
    <w:p w:rsidR="0027555A" w:rsidRDefault="0027555A" w:rsidP="0027555A">
      <w:r>
        <w:t>Details under each aspect may be referred from the below link</w:t>
      </w:r>
    </w:p>
    <w:p w:rsidR="0027555A" w:rsidRDefault="0027555A" w:rsidP="0027555A">
      <w:r>
        <w:t xml:space="preserve">Reference link: </w:t>
      </w:r>
      <w:hyperlink r:id="rId16" w:history="1">
        <w:r>
          <w:rPr>
            <w:rStyle w:val="Hyperlink"/>
          </w:rPr>
          <w:t>https://www.rbi.org.in/Scripts/NotificationUser.aspx?Id=12194&amp;Mode=0</w:t>
        </w:r>
      </w:hyperlink>
    </w:p>
    <w:p w:rsidR="0027555A" w:rsidRDefault="0027555A" w:rsidP="0027555A">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27555A" w:rsidRDefault="0027555A" w:rsidP="0027555A">
      <w:pPr>
        <w:rPr>
          <w:b/>
          <w:bCs/>
        </w:rPr>
      </w:pPr>
      <w:r>
        <w:rPr>
          <w:b/>
          <w:bCs/>
        </w:rPr>
        <w:t>DEPUTY GOVERNOR</w:t>
      </w:r>
    </w:p>
    <w:p w:rsidR="0027555A" w:rsidRDefault="0027555A" w:rsidP="0027555A">
      <w:pPr>
        <w:rPr>
          <w:b/>
          <w:bCs/>
        </w:rPr>
      </w:pPr>
      <w:r>
        <w:rPr>
          <w:b/>
          <w:bCs/>
        </w:rPr>
        <w:t>Reserve Bank of India</w:t>
      </w:r>
      <w:r>
        <w:rPr>
          <w:b/>
          <w:bCs/>
        </w:rPr>
        <w:br/>
        <w:t>Mumbai</w:t>
      </w:r>
    </w:p>
    <w:p w:rsidR="0027555A" w:rsidRDefault="0027555A" w:rsidP="0027555A">
      <w:pPr>
        <w:rPr>
          <w:b/>
          <w:bCs/>
        </w:rPr>
      </w:pPr>
      <w:r>
        <w:rPr>
          <w:b/>
          <w:bCs/>
        </w:rPr>
        <w:t> </w:t>
      </w:r>
    </w:p>
    <w:p w:rsidR="0027555A" w:rsidRDefault="0027555A" w:rsidP="0027555A">
      <w:pPr>
        <w:rPr>
          <w:b/>
          <w:bCs/>
        </w:rPr>
      </w:pPr>
      <w:r>
        <w:rPr>
          <w:b/>
          <w:bCs/>
        </w:rPr>
        <w:t>Reserve Bank - Integrated Ombudsman Scheme, 2021</w:t>
      </w:r>
    </w:p>
    <w:p w:rsidR="0027555A" w:rsidRDefault="0027555A" w:rsidP="0027555A">
      <w:pPr>
        <w:rPr>
          <w:b/>
          <w:bCs/>
        </w:rPr>
      </w:pPr>
      <w:r>
        <w:rPr>
          <w:b/>
          <w:bCs/>
          <w:u w:val="single"/>
        </w:rPr>
        <w:t>NOTIFICATION</w:t>
      </w:r>
    </w:p>
    <w:p w:rsidR="0027555A" w:rsidRDefault="0027555A" w:rsidP="0027555A">
      <w:r>
        <w:t xml:space="preserve">Ref. CEPD. PRD. </w:t>
      </w:r>
      <w:proofErr w:type="gramStart"/>
      <w:r>
        <w:t>No.S</w:t>
      </w:r>
      <w:proofErr w:type="gramEnd"/>
      <w:r>
        <w:t>873/13.01.001/2021-22</w:t>
      </w:r>
    </w:p>
    <w:p w:rsidR="0027555A" w:rsidRDefault="0027555A" w:rsidP="0027555A">
      <w:r>
        <w:t>November 12, 2021</w:t>
      </w:r>
    </w:p>
    <w:p w:rsidR="0027555A" w:rsidRDefault="0027555A" w:rsidP="0027555A">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17" w:tgtFrame="_blank" w:history="1">
        <w:r>
          <w:rPr>
            <w:rStyle w:val="Hyperlink"/>
          </w:rPr>
          <w:t>CEPD. PRS. No. 3590/13.01.004/2017-18 dated February 23, 2018</w:t>
        </w:r>
      </w:hyperlink>
      <w:r>
        <w:t>; and (iii) </w:t>
      </w:r>
      <w:hyperlink r:id="rId18"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9" w:tgtFrame="_blank" w:history="1">
        <w:r>
          <w:rPr>
            <w:rStyle w:val="Hyperlink"/>
          </w:rPr>
          <w:t>the Banking Ombudsman Scheme, 2006</w:t>
        </w:r>
      </w:hyperlink>
      <w:r>
        <w:t>, as amended up to July 01, 2017; (ii) </w:t>
      </w:r>
      <w:hyperlink r:id="rId20" w:tgtFrame="_blank" w:history="1">
        <w:r>
          <w:rPr>
            <w:rStyle w:val="Hyperlink"/>
          </w:rPr>
          <w:t>the Ombudsman Scheme for Non-Banking Financial Companies, 2018</w:t>
        </w:r>
      </w:hyperlink>
      <w:r>
        <w:t>; and (iii) </w:t>
      </w:r>
      <w:hyperlink r:id="rId21" w:tgtFrame="_blank" w:history="1">
        <w:r>
          <w:rPr>
            <w:rStyle w:val="Hyperlink"/>
          </w:rPr>
          <w:t>the Ombudsman Scheme for Digital Transactions, 2019</w:t>
        </w:r>
      </w:hyperlink>
      <w:r>
        <w:t> into the Reserve Bank - Integrated Ombudsman Scheme, 2021 (the Scheme).</w:t>
      </w:r>
    </w:p>
    <w:p w:rsidR="0027555A" w:rsidRDefault="0027555A" w:rsidP="0027555A">
      <w:r>
        <w:t>2. The Scheme covers the following regulated entities:</w:t>
      </w:r>
    </w:p>
    <w:p w:rsidR="0027555A" w:rsidRDefault="0027555A" w:rsidP="0027555A">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27555A" w:rsidRDefault="0027555A" w:rsidP="0027555A">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27555A" w:rsidRDefault="0027555A" w:rsidP="0027555A">
      <w:pPr>
        <w:numPr>
          <w:ilvl w:val="0"/>
          <w:numId w:val="1"/>
        </w:numPr>
      </w:pPr>
      <w:r>
        <w:t>all System Participants as defined under the Scheme.</w:t>
      </w:r>
    </w:p>
    <w:p w:rsidR="0027555A" w:rsidRDefault="0027555A" w:rsidP="0027555A">
      <w:r>
        <w:t>3. The regulated entities shall comply with the Scheme from the date of its implementation.</w:t>
      </w:r>
    </w:p>
    <w:p w:rsidR="0027555A" w:rsidRDefault="0027555A" w:rsidP="0027555A">
      <w:r>
        <w:t>4. The format for filing a complaint under the Scheme is </w:t>
      </w:r>
      <w:hyperlink r:id="rId22" w:tgtFrame="_blank" w:history="1">
        <w:r>
          <w:rPr>
            <w:rStyle w:val="Hyperlink"/>
          </w:rPr>
          <w:t>annexed</w:t>
        </w:r>
      </w:hyperlink>
      <w:r>
        <w:t>.</w:t>
      </w:r>
    </w:p>
    <w:p w:rsidR="0027555A" w:rsidRDefault="0027555A" w:rsidP="0027555A">
      <w:r>
        <w:t>5. The </w:t>
      </w:r>
      <w:hyperlink r:id="rId23" w:tgtFrame="_blank" w:history="1">
        <w:r>
          <w:rPr>
            <w:rStyle w:val="Hyperlink"/>
          </w:rPr>
          <w:t>Scheme</w:t>
        </w:r>
      </w:hyperlink>
      <w:r>
        <w:t> shall come into force from November 12, 2021.</w:t>
      </w:r>
    </w:p>
    <w:p w:rsidR="0027555A" w:rsidRDefault="0027555A" w:rsidP="0027555A">
      <w:r>
        <w:t>(M. K. Jain)</w:t>
      </w:r>
    </w:p>
    <w:p w:rsidR="0027555A" w:rsidRDefault="0027555A" w:rsidP="0027555A">
      <w:r>
        <w:t xml:space="preserve">Reference link: </w:t>
      </w:r>
      <w:hyperlink r:id="rId24" w:history="1">
        <w:r>
          <w:rPr>
            <w:rStyle w:val="Hyperlink"/>
          </w:rPr>
          <w:t>https://www.rbi.org.in/Scripts/NotificationUser.aspx?Id=12192&amp;Mode=0</w:t>
        </w:r>
      </w:hyperlink>
    </w:p>
    <w:p w:rsidR="0027555A" w:rsidRDefault="0027555A" w:rsidP="0027555A"/>
    <w:p w:rsidR="0027555A" w:rsidRDefault="0027555A" w:rsidP="0027555A">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rsidR="0027555A" w:rsidRDefault="0027555A" w:rsidP="0027555A">
      <w:r>
        <w:t>RBI/2021-2022/123</w:t>
      </w:r>
      <w:r>
        <w:br/>
        <w:t>DOR.SOG (SPE).</w:t>
      </w:r>
      <w:proofErr w:type="spellStart"/>
      <w:r>
        <w:t>REC.No</w:t>
      </w:r>
      <w:proofErr w:type="spellEnd"/>
      <w:r>
        <w:t xml:space="preserve"> 67/13.03.00/2021-22</w:t>
      </w:r>
    </w:p>
    <w:p w:rsidR="0027555A" w:rsidRDefault="0027555A" w:rsidP="0027555A">
      <w:r>
        <w:t>November 11, 2021</w:t>
      </w:r>
    </w:p>
    <w:p w:rsidR="0027555A" w:rsidRDefault="0027555A" w:rsidP="0027555A">
      <w:r>
        <w:t>All Scheduled Commercial Banks (including Regional Rural Banks)</w:t>
      </w:r>
      <w:r>
        <w:br/>
        <w:t>All Small Finance Banks</w:t>
      </w:r>
      <w:r>
        <w:br/>
        <w:t>All Local Area Banks</w:t>
      </w:r>
      <w:r>
        <w:br/>
        <w:t>All Payment Banks</w:t>
      </w:r>
      <w:r>
        <w:br/>
        <w:t>All Primary (Urban) Co-operative Banks/ DCCBs /State Cooperative Banks</w:t>
      </w:r>
    </w:p>
    <w:p w:rsidR="0027555A" w:rsidRDefault="0027555A" w:rsidP="0027555A">
      <w:r>
        <w:t>Dear Sir / Madam,</w:t>
      </w:r>
    </w:p>
    <w:p w:rsidR="0027555A" w:rsidRDefault="0027555A" w:rsidP="0027555A">
      <w:pPr>
        <w:rPr>
          <w:b/>
          <w:bCs/>
        </w:rPr>
      </w:pPr>
      <w:r>
        <w:rPr>
          <w:b/>
          <w:bCs/>
        </w:rPr>
        <w:t>Foreign Currency (Non-resident) Accounts (Banks) Scheme [FCNR(B)] - Master Direction on Interest Rate on Deposits</w:t>
      </w:r>
    </w:p>
    <w:p w:rsidR="0027555A" w:rsidRDefault="0027555A" w:rsidP="0027555A">
      <w:r>
        <w:t>Please refer to the instructions on the Foreign Currency (Non-resident) Accounts (Banks) Scheme contained in Section 19 of the </w:t>
      </w:r>
      <w:hyperlink r:id="rId25" w:tgtFrame="_blank" w:history="1">
        <w:r>
          <w:rPr>
            <w:rStyle w:val="Hyperlink"/>
          </w:rPr>
          <w:t>Master Direction - Reserve Bank of India (Interest Rate on Deposits) Directions, 2016 dated March 03, 2016</w:t>
        </w:r>
      </w:hyperlink>
      <w:r>
        <w:t> and Section 18 of the </w:t>
      </w:r>
      <w:hyperlink r:id="rId26" w:tgtFrame="_blank" w:history="1">
        <w:r>
          <w:rPr>
            <w:rStyle w:val="Hyperlink"/>
          </w:rPr>
          <w:t>Master Direction – Reserve Bank of India (Co-operative Banks – Interest Rate on Deposits) Directions, 2016 dated May 12, 2016</w:t>
        </w:r>
      </w:hyperlink>
      <w:r>
        <w:t>.</w:t>
      </w:r>
    </w:p>
    <w:p w:rsidR="0027555A" w:rsidRDefault="0027555A" w:rsidP="0027555A">
      <w:r>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rsidR="0027555A" w:rsidRDefault="0027555A" w:rsidP="0027555A">
      <w:r>
        <w:t>3. As a measure to handle the information asymmetry during the transition, FEDAI may publish the ARR till such time the widely accepted benchmark is established. The relevant sections of the Master Directions as amended are indicated in the </w:t>
      </w:r>
      <w:hyperlink r:id="rId27" w:anchor="AN" w:history="1">
        <w:r>
          <w:rPr>
            <w:rStyle w:val="Hyperlink"/>
          </w:rPr>
          <w:t>Annex</w:t>
        </w:r>
      </w:hyperlink>
      <w:r>
        <w:t>.</w:t>
      </w:r>
    </w:p>
    <w:p w:rsidR="0027555A" w:rsidRDefault="0027555A" w:rsidP="0027555A">
      <w:r>
        <w:t>4. All other instructions in this regard shall remain unchanged.</w:t>
      </w:r>
    </w:p>
    <w:p w:rsidR="0027555A" w:rsidRDefault="0027555A" w:rsidP="0027555A">
      <w:r>
        <w:t>Yours faithfully,</w:t>
      </w:r>
    </w:p>
    <w:p w:rsidR="0027555A" w:rsidRDefault="0027555A" w:rsidP="0027555A">
      <w:r>
        <w:t>(</w:t>
      </w:r>
      <w:proofErr w:type="spellStart"/>
      <w:r>
        <w:t>Neeraj</w:t>
      </w:r>
      <w:proofErr w:type="spellEnd"/>
      <w:r>
        <w:t xml:space="preserve"> Nigam)</w:t>
      </w:r>
      <w:r>
        <w:br/>
        <w:t>Chief General Manager-in-Charge</w:t>
      </w:r>
      <w:r>
        <w:br/>
      </w:r>
      <w:proofErr w:type="spellStart"/>
      <w:r>
        <w:t>Encl</w:t>
      </w:r>
      <w:proofErr w:type="spellEnd"/>
      <w:r>
        <w:t>: As above</w:t>
      </w:r>
    </w:p>
    <w:p w:rsidR="0027555A" w:rsidRDefault="0027555A" w:rsidP="0027555A">
      <w:r>
        <w:t xml:space="preserve">Reference link: </w:t>
      </w:r>
      <w:hyperlink r:id="rId28" w:history="1">
        <w:r>
          <w:rPr>
            <w:rStyle w:val="Hyperlink"/>
          </w:rPr>
          <w:t>https://www.rbi.org.in/Scripts/NotificationUser.aspx?Id=12191&amp;Mode=0</w:t>
        </w:r>
      </w:hyperlink>
    </w:p>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rsidR="0027555A" w:rsidRDefault="0027555A" w:rsidP="0027555A">
      <w:r>
        <w:t>RBI/2021-22/116</w:t>
      </w:r>
      <w:r>
        <w:br/>
        <w:t>DOR.CRE.REC.63/21.04.048/2021-22</w:t>
      </w:r>
    </w:p>
    <w:p w:rsidR="0027555A" w:rsidRDefault="0027555A" w:rsidP="0027555A">
      <w:r>
        <w:t>October 29, 2021</w:t>
      </w:r>
    </w:p>
    <w:p w:rsidR="0027555A" w:rsidRDefault="0027555A" w:rsidP="0027555A">
      <w:r>
        <w:t>All Scheduled Commercial Banks</w:t>
      </w:r>
      <w:r>
        <w:br/>
        <w:t>All Payments Banks</w:t>
      </w:r>
    </w:p>
    <w:p w:rsidR="0027555A" w:rsidRDefault="0027555A" w:rsidP="0027555A">
      <w:r>
        <w:t>Madam/Sir,</w:t>
      </w:r>
    </w:p>
    <w:p w:rsidR="0027555A" w:rsidRDefault="0027555A" w:rsidP="0027555A">
      <w:pPr>
        <w:rPr>
          <w:b/>
          <w:bCs/>
        </w:rPr>
      </w:pPr>
      <w:r>
        <w:rPr>
          <w:b/>
          <w:bCs/>
        </w:rPr>
        <w:t>Opening of Current Accounts by Banks - Need for Discipline</w:t>
      </w:r>
    </w:p>
    <w:p w:rsidR="0027555A" w:rsidRDefault="0027555A" w:rsidP="0027555A">
      <w:r>
        <w:t>Please refer to our </w:t>
      </w:r>
      <w:hyperlink r:id="rId29" w:tgtFrame="_blank" w:history="1">
        <w:r>
          <w:rPr>
            <w:rStyle w:val="Hyperlink"/>
          </w:rPr>
          <w:t xml:space="preserve">circular </w:t>
        </w:r>
        <w:proofErr w:type="spellStart"/>
        <w:r>
          <w:rPr>
            <w:rStyle w:val="Hyperlink"/>
          </w:rPr>
          <w:t>DOR.No.BP.BC</w:t>
        </w:r>
        <w:proofErr w:type="spellEnd"/>
        <w:r>
          <w:rPr>
            <w:rStyle w:val="Hyperlink"/>
          </w:rPr>
          <w:t>/7/21.04.048/2020-21 dated August 6, 2020</w:t>
        </w:r>
      </w:hyperlink>
      <w:r>
        <w:t> on the captioned subject and associated circulars thereon</w:t>
      </w:r>
      <w:hyperlink r:id="rId30" w:anchor="F1" w:history="1">
        <w:r>
          <w:rPr>
            <w:rStyle w:val="Hyperlink"/>
            <w:vertAlign w:val="superscript"/>
          </w:rPr>
          <w:t>1</w:t>
        </w:r>
      </w:hyperlink>
      <w:r>
        <w:t>.</w:t>
      </w:r>
    </w:p>
    <w:p w:rsidR="0027555A" w:rsidRDefault="0027555A" w:rsidP="0027555A">
      <w:r>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rsidR="0027555A" w:rsidRDefault="0027555A" w:rsidP="0027555A">
      <w:r>
        <w:t>(</w:t>
      </w:r>
      <w:proofErr w:type="spellStart"/>
      <w:r>
        <w:t>i</w:t>
      </w:r>
      <w:proofErr w:type="spellEnd"/>
      <w:r>
        <w:t xml:space="preserve">) For borrowers, where the exposure of the banking system is less than ₹5 </w:t>
      </w:r>
      <w:proofErr w:type="gramStart"/>
      <w:r>
        <w:t>crore</w:t>
      </w:r>
      <w:proofErr w:type="gramEnd"/>
      <w:r>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rsidR="0027555A" w:rsidRDefault="0027555A" w:rsidP="0027555A">
      <w:r>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rsidR="0027555A" w:rsidRDefault="0027555A" w:rsidP="0027555A"/>
    <w:p w:rsidR="0027555A" w:rsidRDefault="0027555A" w:rsidP="0027555A">
      <w:r>
        <w:t>Further details of the circular can be accessed in the below link</w:t>
      </w:r>
    </w:p>
    <w:p w:rsidR="0027555A" w:rsidRDefault="0027555A" w:rsidP="0027555A">
      <w:r>
        <w:t xml:space="preserve">Reference link: </w:t>
      </w:r>
      <w:hyperlink r:id="rId31" w:history="1">
        <w:r>
          <w:rPr>
            <w:rStyle w:val="Hyperlink"/>
          </w:rPr>
          <w:t>https://www.rbi.org.in/Scripts/NotificationUser.aspx?Id=12184&amp;Mode=0</w:t>
        </w:r>
      </w:hyperlink>
    </w:p>
    <w:p w:rsidR="0027555A" w:rsidRDefault="0027555A" w:rsidP="0027555A"/>
    <w:p w:rsidR="0027555A" w:rsidRDefault="0027555A" w:rsidP="0027555A">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27555A" w:rsidRDefault="0027555A" w:rsidP="0027555A">
      <w:r>
        <w:t>RBI/2021-22/115</w:t>
      </w:r>
      <w:r>
        <w:br/>
        <w:t>DoR.AUT.REC.62/23.67.001/2021-22</w:t>
      </w:r>
    </w:p>
    <w:p w:rsidR="0027555A" w:rsidRDefault="0027555A" w:rsidP="0027555A">
      <w:r>
        <w:t>October 28, 2021</w:t>
      </w:r>
    </w:p>
    <w:p w:rsidR="0027555A" w:rsidRDefault="0027555A" w:rsidP="0027555A">
      <w:r>
        <w:t>All Scheduled Commercial Banks</w:t>
      </w:r>
      <w:r>
        <w:br/>
        <w:t>(excluding Regional Rural Banks)</w:t>
      </w:r>
    </w:p>
    <w:p w:rsidR="0027555A" w:rsidRDefault="0027555A" w:rsidP="0027555A">
      <w:r>
        <w:t>Dear Sir/Madam</w:t>
      </w:r>
    </w:p>
    <w:p w:rsidR="0027555A" w:rsidRDefault="0027555A" w:rsidP="0027555A">
      <w:pPr>
        <w:rPr>
          <w:b/>
          <w:bCs/>
        </w:rPr>
      </w:pPr>
      <w:r>
        <w:rPr>
          <w:b/>
          <w:bCs/>
        </w:rPr>
        <w:t>Gold Monetization Scheme (GMS), 2015</w:t>
      </w:r>
    </w:p>
    <w:p w:rsidR="0027555A" w:rsidRDefault="0027555A" w:rsidP="0027555A">
      <w:r>
        <w:t>In exercise of the powers conferred on the Reserve Bank of India under Section 35A of the Banking Regulation Act, 1949, the RBI makes the following amendments in the Reserve Bank of India (Gold Monetization Scheme, 2015) </w:t>
      </w:r>
      <w:hyperlink r:id="rId32" w:tgtFrame="_blank" w:history="1">
        <w:r>
          <w:rPr>
            <w:rStyle w:val="Hyperlink"/>
          </w:rPr>
          <w:t>Master Direction No.DBR.IBD.No.45/23.67.003/2015-16 dated October 22, 2015</w:t>
        </w:r>
      </w:hyperlink>
      <w:r>
        <w:t>, with immediate effect.</w:t>
      </w:r>
    </w:p>
    <w:p w:rsidR="0027555A" w:rsidRDefault="0027555A" w:rsidP="0027555A">
      <w:r>
        <w:t>2. A new sub-paragraph 2.2.2 (f) has been inserted to read as follows:</w:t>
      </w:r>
    </w:p>
    <w:p w:rsidR="0027555A" w:rsidRDefault="0027555A" w:rsidP="0027555A">
      <w:r>
        <w:t>2.2.2 (f) Interest on premature closure of the deposit in case of death of depositor before and after lock-in period</w:t>
      </w:r>
    </w:p>
    <w:p w:rsidR="0027555A" w:rsidRDefault="0027555A" w:rsidP="0027555A">
      <w:r>
        <w:t>The amount payable to the depositor shall be calculated as a sum of </w:t>
      </w:r>
      <w:r>
        <w:rPr>
          <w:b/>
          <w:bCs/>
        </w:rPr>
        <w:t>(A) and (B)</w:t>
      </w:r>
      <w:r>
        <w:t>, as indicated below:</w:t>
      </w:r>
    </w:p>
    <w:p w:rsidR="0027555A" w:rsidRDefault="0027555A" w:rsidP="0027555A">
      <w:r>
        <w:t>(A) Actual market value of the gold deposit on the day of withdrawal.</w:t>
      </w:r>
    </w:p>
    <w:p w:rsidR="0027555A" w:rsidRDefault="0027555A" w:rsidP="0027555A">
      <w:r>
        <w:t>(B) Interest payable on the value of the gold for the period of deposit at the applicable rate.</w:t>
      </w:r>
    </w:p>
    <w:p w:rsidR="0027555A" w:rsidRDefault="0027555A" w:rsidP="0027555A">
      <w:r>
        <w:t>3. A new sub-paragraph 2.2.2 (g) has been inserted to read as follows:</w:t>
      </w:r>
    </w:p>
    <w:p w:rsidR="0027555A" w:rsidRDefault="0027555A" w:rsidP="0027555A">
      <w:r>
        <w:t>2.2.2 (g) Interest on premature closure of the deposit due to default of loan taken against MLTGD before and after lock-in period</w:t>
      </w:r>
    </w:p>
    <w:p w:rsidR="0027555A" w:rsidRDefault="0027555A" w:rsidP="0027555A">
      <w:r>
        <w:t>The amount payable to the depositor shall be calculated as a sum of </w:t>
      </w:r>
      <w:r>
        <w:rPr>
          <w:b/>
          <w:bCs/>
        </w:rPr>
        <w:t>(A) and (B)</w:t>
      </w:r>
      <w:r>
        <w:t>, as indicated below:</w:t>
      </w:r>
    </w:p>
    <w:p w:rsidR="0027555A" w:rsidRDefault="0027555A" w:rsidP="0027555A">
      <w:r>
        <w:t>(A) Actual market value of the gold deposit on the day of withdrawal.</w:t>
      </w:r>
    </w:p>
    <w:p w:rsidR="0027555A" w:rsidRDefault="0027555A" w:rsidP="0027555A">
      <w:r>
        <w:t>(B) Interest payable on the value of the gold for the period of deposit at the applicable rate.</w:t>
      </w:r>
    </w:p>
    <w:p w:rsidR="0027555A" w:rsidRDefault="0027555A" w:rsidP="0027555A">
      <w:r>
        <w:t>4. The Reserve Bank of India </w:t>
      </w:r>
      <w:hyperlink r:id="rId33" w:tgtFrame="_blank" w:history="1">
        <w:r>
          <w:rPr>
            <w:rStyle w:val="Hyperlink"/>
          </w:rPr>
          <w:t>Master Direction No.DBR.IBD.45/23.67.003/2015-16 dated October 22, 2015</w:t>
        </w:r>
      </w:hyperlink>
      <w:r>
        <w:t> on Gold Monetization Scheme, 2015 has been updated incorporating the above changes.</w:t>
      </w:r>
    </w:p>
    <w:p w:rsidR="0027555A" w:rsidRDefault="0027555A" w:rsidP="0027555A">
      <w:r>
        <w:t>Yours faithfully</w:t>
      </w:r>
    </w:p>
    <w:p w:rsidR="0027555A" w:rsidRDefault="0027555A" w:rsidP="0027555A">
      <w:r>
        <w:t xml:space="preserve">(Prakash </w:t>
      </w:r>
      <w:proofErr w:type="spellStart"/>
      <w:r>
        <w:t>Baliarsingh</w:t>
      </w:r>
      <w:proofErr w:type="spellEnd"/>
      <w:r>
        <w:t>)</w:t>
      </w:r>
      <w:r>
        <w:br/>
        <w:t>Chief General Manager</w:t>
      </w:r>
    </w:p>
    <w:p w:rsidR="0027555A" w:rsidRDefault="0027555A" w:rsidP="0027555A"/>
    <w:p w:rsidR="0027555A" w:rsidRDefault="0027555A" w:rsidP="0027555A">
      <w:r>
        <w:t>The interest rate applicable will be based on before the lock-in period or after the lock-in period and the type of deposit. These have been detailed out in a tabulated manner in the circular which can be referred to for more details in the link below.</w:t>
      </w:r>
    </w:p>
    <w:p w:rsidR="0027555A" w:rsidRDefault="0027555A" w:rsidP="0027555A"/>
    <w:p w:rsidR="0027555A" w:rsidRDefault="0027555A" w:rsidP="0027555A">
      <w:r>
        <w:t xml:space="preserve">Reference link: </w:t>
      </w:r>
      <w:hyperlink r:id="rId34" w:history="1">
        <w:r>
          <w:rPr>
            <w:rStyle w:val="Hyperlink"/>
          </w:rPr>
          <w:t>https://www.rbi.org.in/Scripts/NotificationUser.aspx?Id=12183&amp;Mode=0</w:t>
        </w:r>
      </w:hyperlink>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rsidR="0027555A" w:rsidRDefault="0027555A" w:rsidP="0027555A">
      <w:r>
        <w:t>RBI/2021-2022/114</w:t>
      </w:r>
      <w:r>
        <w:br/>
        <w:t>IDMD.CDD.1100/14.04.050/2021-22</w:t>
      </w:r>
    </w:p>
    <w:p w:rsidR="0027555A" w:rsidRDefault="0027555A" w:rsidP="0027555A">
      <w:r>
        <w:t>October 22, 2021</w:t>
      </w:r>
    </w:p>
    <w:p w:rsidR="0027555A" w:rsidRDefault="0027555A" w:rsidP="0027555A">
      <w:r>
        <w:t>All Scheduled Commercial Banks (Excluding RRBs)</w:t>
      </w:r>
      <w:r>
        <w:br/>
        <w:t>Designated Post Offices</w:t>
      </w:r>
      <w:r>
        <w:br/>
        <w:t>Stock Holding Corporation of India Ltd. (SHCIL)</w:t>
      </w:r>
      <w:r>
        <w:br/>
        <w:t>BSE &amp; NSE</w:t>
      </w:r>
      <w:r>
        <w:br/>
        <w:t>Depositories</w:t>
      </w:r>
      <w:r>
        <w:br/>
        <w:t>Clearing Corporation of India Limited</w:t>
      </w:r>
    </w:p>
    <w:p w:rsidR="0027555A" w:rsidRDefault="0027555A" w:rsidP="0027555A">
      <w:r>
        <w:t>Dear Sir/Madam,</w:t>
      </w:r>
    </w:p>
    <w:p w:rsidR="0027555A" w:rsidRDefault="0027555A" w:rsidP="0027555A">
      <w:pPr>
        <w:rPr>
          <w:b/>
          <w:bCs/>
        </w:rPr>
      </w:pPr>
      <w:r>
        <w:rPr>
          <w:b/>
          <w:bCs/>
        </w:rPr>
        <w:t>Sovereign Gold Bond Scheme of the Government of India (</w:t>
      </w:r>
      <w:proofErr w:type="spellStart"/>
      <w:r>
        <w:rPr>
          <w:b/>
          <w:bCs/>
        </w:rPr>
        <w:t>GoI</w:t>
      </w:r>
      <w:proofErr w:type="spellEnd"/>
      <w:r>
        <w:rPr>
          <w:b/>
          <w:bCs/>
        </w:rPr>
        <w:t>) - Procedural Guidelines - Consolidated</w:t>
      </w:r>
    </w:p>
    <w:p w:rsidR="0027555A" w:rsidRDefault="0027555A" w:rsidP="0027555A">
      <w:r>
        <w:t>The </w:t>
      </w:r>
      <w:hyperlink r:id="rId35" w:tgtFrame="_blank" w:history="1">
        <w:r>
          <w:rPr>
            <w:rStyle w:val="Hyperlink"/>
          </w:rPr>
          <w:t>Sovereign Gold Bond (SGB) Scheme was first launched by Government of India (GOI) on October 30, 2015</w:t>
        </w:r>
      </w:hyperlink>
      <w:r>
        <w:t>.</w:t>
      </w:r>
      <w:r>
        <w:rPr>
          <w:b/>
          <w:bCs/>
        </w:rPr>
        <w:t> </w:t>
      </w:r>
      <w:r>
        <w:t>As the “Receiving Offices” (RO), are entrusted with the responsibility of performing certain functions relating to receipt of applications and servicing of the bonds, RBI has also issued operational guidelines from time to time and Procedural Guidelines vide </w:t>
      </w:r>
      <w:hyperlink r:id="rId36" w:tgtFrame="_blank" w:history="1">
        <w:r>
          <w:rPr>
            <w:rStyle w:val="Hyperlink"/>
          </w:rPr>
          <w:t>circular IDMD.CDD.No.1569/14.04.050/2016-17 dated December 23, 2016</w:t>
        </w:r>
      </w:hyperlink>
      <w:r>
        <w:t> for guidance to the Receiving Offices.</w:t>
      </w:r>
    </w:p>
    <w:p w:rsidR="0027555A" w:rsidRDefault="0027555A" w:rsidP="0027555A">
      <w:r>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37" w:anchor="ANI" w:history="1">
        <w:r>
          <w:rPr>
            <w:rStyle w:val="Hyperlink"/>
          </w:rPr>
          <w:t>Annex I</w:t>
        </w:r>
      </w:hyperlink>
      <w:r>
        <w:t>. The same will be updated suitably and simultaneously whenever there is a change in the rules/regulations governing the operation of the Scheme.</w:t>
      </w:r>
    </w:p>
    <w:p w:rsidR="0027555A" w:rsidRDefault="0027555A" w:rsidP="0027555A">
      <w:r>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rsidR="0027555A" w:rsidRDefault="0027555A" w:rsidP="0027555A">
      <w:r>
        <w:t>4. These Guidelines are issued in exercise of the powers conferred under Section 29(2) of the GS Act 2006, to the Receiving Offices, BSE/NSE and depositories.</w:t>
      </w:r>
    </w:p>
    <w:p w:rsidR="0027555A" w:rsidRDefault="0027555A" w:rsidP="0027555A">
      <w:r>
        <w:t>Yours faithfully,</w:t>
      </w:r>
    </w:p>
    <w:p w:rsidR="0027555A" w:rsidRDefault="0027555A" w:rsidP="0027555A">
      <w:r>
        <w:t>(</w:t>
      </w:r>
      <w:proofErr w:type="spellStart"/>
      <w:r>
        <w:t>Rajendra</w:t>
      </w:r>
      <w:proofErr w:type="spellEnd"/>
      <w:r>
        <w:t xml:space="preserve"> Kumar)</w:t>
      </w:r>
      <w:r>
        <w:br/>
        <w:t>Chief General Manager</w:t>
      </w:r>
    </w:p>
    <w:p w:rsidR="0027555A" w:rsidRDefault="0027555A" w:rsidP="0027555A">
      <w:proofErr w:type="spellStart"/>
      <w:r>
        <w:t>Encl</w:t>
      </w:r>
      <w:proofErr w:type="spellEnd"/>
      <w:r>
        <w:t>: as above</w:t>
      </w:r>
    </w:p>
    <w:p w:rsidR="0027555A" w:rsidRDefault="0027555A" w:rsidP="0027555A">
      <w:r>
        <w:t xml:space="preserve">Reference link: </w:t>
      </w:r>
      <w:hyperlink r:id="rId38" w:history="1">
        <w:r>
          <w:rPr>
            <w:rStyle w:val="Hyperlink"/>
          </w:rPr>
          <w:t>https://www.rbi.org.in/Scripts/NotificationUser.aspx?Id=12181&amp;Mode=0</w:t>
        </w:r>
      </w:hyperlink>
    </w:p>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27555A" w:rsidRDefault="0027555A" w:rsidP="0027555A">
      <w:r>
        <w:t>RBI/2021-22/111</w:t>
      </w:r>
      <w:r>
        <w:br/>
        <w:t>DoR.FIN.REC.59/20.16.056/2021-22</w:t>
      </w:r>
    </w:p>
    <w:p w:rsidR="0027555A" w:rsidRDefault="0027555A" w:rsidP="0027555A">
      <w:r>
        <w:t>October 14, 2021</w:t>
      </w:r>
    </w:p>
    <w:p w:rsidR="0027555A" w:rsidRDefault="0027555A" w:rsidP="0027555A">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27555A" w:rsidRDefault="0027555A" w:rsidP="0027555A">
      <w:r>
        <w:t>Madam/Dear Sir,</w:t>
      </w:r>
    </w:p>
    <w:p w:rsidR="0027555A" w:rsidRDefault="0027555A" w:rsidP="0027555A">
      <w:pPr>
        <w:rPr>
          <w:b/>
          <w:bCs/>
        </w:rPr>
      </w:pPr>
      <w:r>
        <w:rPr>
          <w:b/>
          <w:bCs/>
        </w:rPr>
        <w:t>Data Format for Furnishing of Credit Information to Credit Information Companies</w:t>
      </w:r>
    </w:p>
    <w:p w:rsidR="0027555A" w:rsidRDefault="0027555A" w:rsidP="0027555A">
      <w:r>
        <w:t>Please refer to our </w:t>
      </w:r>
      <w:hyperlink r:id="rId39"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27555A" w:rsidRDefault="0027555A" w:rsidP="0027555A">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27555A" w:rsidRDefault="0027555A" w:rsidP="0027555A">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27555A" w:rsidRDefault="0027555A" w:rsidP="0027555A">
      <w:r>
        <w:t>(</w:t>
      </w:r>
      <w:proofErr w:type="spellStart"/>
      <w:r>
        <w:t>i</w:t>
      </w:r>
      <w:proofErr w:type="spellEnd"/>
      <w:r>
        <w:t>) The reporting would be mandatory in respect of new loan accounts opened after July 1, 2022.</w:t>
      </w:r>
    </w:p>
    <w:p w:rsidR="0027555A" w:rsidRDefault="0027555A" w:rsidP="0027555A">
      <w:r>
        <w:t>(ii) A phased approach shall be followed for reporting of legacy data as detailed below:</w:t>
      </w:r>
    </w:p>
    <w:p w:rsidR="0027555A" w:rsidRDefault="0027555A" w:rsidP="0027555A">
      <w:pPr>
        <w:numPr>
          <w:ilvl w:val="0"/>
          <w:numId w:val="2"/>
        </w:numPr>
      </w:pPr>
      <w:r>
        <w:t>The accounts opened during the period (July 1, 2021 to June 30, 2022) have to be updated by January 1, 2023.</w:t>
      </w:r>
    </w:p>
    <w:p w:rsidR="0027555A" w:rsidRDefault="0027555A" w:rsidP="0027555A">
      <w:pPr>
        <w:numPr>
          <w:ilvl w:val="0"/>
          <w:numId w:val="2"/>
        </w:numPr>
      </w:pPr>
      <w:r>
        <w:t>The accounts opened in past three years (July 1, 2018 to June 30, 2021) have to be updated by July 1, 2023.</w:t>
      </w:r>
    </w:p>
    <w:p w:rsidR="0027555A" w:rsidRDefault="0027555A" w:rsidP="0027555A">
      <w:pPr>
        <w:numPr>
          <w:ilvl w:val="0"/>
          <w:numId w:val="2"/>
        </w:numPr>
      </w:pPr>
      <w:r>
        <w:t>A timeline for reporting of the remainder legacy data would be reviewed by the Technical Working Group and the CIs would be advised in due course.</w:t>
      </w:r>
    </w:p>
    <w:p w:rsidR="0027555A" w:rsidRDefault="0027555A" w:rsidP="0027555A">
      <w:r>
        <w:t>4. The CIs are advised to commence reporting the aforesaid information as per the prescribed timelines to CICs.</w:t>
      </w:r>
    </w:p>
    <w:p w:rsidR="0027555A" w:rsidRDefault="0027555A" w:rsidP="0027555A">
      <w:r>
        <w:t>Yours faithfully</w:t>
      </w:r>
    </w:p>
    <w:p w:rsidR="0027555A" w:rsidRDefault="0027555A" w:rsidP="0027555A">
      <w:r>
        <w:lastRenderedPageBreak/>
        <w:t>(Sunil T S Nair)</w:t>
      </w:r>
      <w:r>
        <w:br/>
        <w:t>Chief General Manager</w:t>
      </w:r>
    </w:p>
    <w:p w:rsidR="0027555A" w:rsidRDefault="0027555A" w:rsidP="0027555A">
      <w:r>
        <w:t xml:space="preserve">Reference link: </w:t>
      </w:r>
      <w:hyperlink r:id="rId40" w:history="1">
        <w:r>
          <w:rPr>
            <w:rStyle w:val="Hyperlink"/>
          </w:rPr>
          <w:t>https://www.rbi.org.in/Scripts/NotificationUser.aspx?Id=12178&amp;Mode=0</w:t>
        </w:r>
      </w:hyperlink>
    </w:p>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27555A" w:rsidRDefault="0027555A" w:rsidP="0027555A">
      <w:r>
        <w:t>RBI/2021-2022/104</w:t>
      </w:r>
      <w:r>
        <w:br/>
        <w:t>DOR.No.STR.REC.55/21.04.048/2021-22</w:t>
      </w:r>
    </w:p>
    <w:p w:rsidR="0027555A" w:rsidRDefault="0027555A" w:rsidP="0027555A">
      <w:r>
        <w:t>October 1, 2021</w:t>
      </w:r>
    </w:p>
    <w:p w:rsidR="0027555A" w:rsidRDefault="0027555A" w:rsidP="0027555A">
      <w:r>
        <w:t>All Commercial Banks (excluding RRBs)</w:t>
      </w:r>
    </w:p>
    <w:p w:rsidR="0027555A" w:rsidRDefault="0027555A" w:rsidP="0027555A">
      <w:r>
        <w:t>Madam/Dear Sir</w:t>
      </w:r>
    </w:p>
    <w:p w:rsidR="0027555A" w:rsidRDefault="0027555A" w:rsidP="0027555A">
      <w:pPr>
        <w:rPr>
          <w:b/>
          <w:bCs/>
        </w:rPr>
      </w:pPr>
      <w:r>
        <w:rPr>
          <w:b/>
          <w:bCs/>
        </w:rPr>
        <w:t>Master Circular - Prudential norms on Income Recognition, Asset Classification and Provisioning pertaining to Advances</w:t>
      </w:r>
    </w:p>
    <w:p w:rsidR="0027555A" w:rsidRDefault="0027555A" w:rsidP="0027555A">
      <w:r>
        <w:t>Please refer to the </w:t>
      </w:r>
      <w:hyperlink r:id="rId41"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27555A" w:rsidRDefault="0027555A" w:rsidP="0027555A">
      <w:r>
        <w:t>2. This </w:t>
      </w:r>
      <w:hyperlink r:id="rId42" w:anchor="MD" w:history="1">
        <w:r>
          <w:rPr>
            <w:rStyle w:val="Hyperlink"/>
          </w:rPr>
          <w:t>Master Circular</w:t>
        </w:r>
      </w:hyperlink>
      <w:r>
        <w:t> consolidates instructions on the above matters issued as on date. A list of circulars consolidated in this Master Circular is contained in the </w:t>
      </w:r>
      <w:hyperlink r:id="rId43" w:anchor="AN6" w:history="1">
        <w:r>
          <w:rPr>
            <w:rStyle w:val="Hyperlink"/>
          </w:rPr>
          <w:t>Annex 6</w:t>
        </w:r>
      </w:hyperlink>
      <w:r>
        <w:t>.</w:t>
      </w:r>
    </w:p>
    <w:p w:rsidR="0027555A" w:rsidRDefault="0027555A" w:rsidP="0027555A">
      <w:r>
        <w:t>Yours faithfully</w:t>
      </w:r>
    </w:p>
    <w:p w:rsidR="0027555A" w:rsidRDefault="0027555A" w:rsidP="0027555A">
      <w:r>
        <w:t>(</w:t>
      </w:r>
      <w:proofErr w:type="spellStart"/>
      <w:r>
        <w:t>Manoranjan</w:t>
      </w:r>
      <w:proofErr w:type="spellEnd"/>
      <w:r>
        <w:t xml:space="preserve"> Mishra)</w:t>
      </w:r>
      <w:r>
        <w:br/>
        <w:t>Chief General Manager</w:t>
      </w:r>
    </w:p>
    <w:p w:rsidR="0027555A" w:rsidRDefault="0027555A" w:rsidP="0027555A">
      <w:r>
        <w:t>Encl.: As above</w:t>
      </w:r>
    </w:p>
    <w:p w:rsidR="0027555A" w:rsidRDefault="0027555A" w:rsidP="0027555A">
      <w:r>
        <w:t xml:space="preserve">Reference link: </w:t>
      </w:r>
      <w:hyperlink r:id="rId44" w:history="1">
        <w:r>
          <w:rPr>
            <w:rStyle w:val="Hyperlink"/>
          </w:rPr>
          <w:t>https://www.rbi.org.in/Scripts/NotificationUser.aspx?Id=12171&amp;Mode=0</w:t>
        </w:r>
      </w:hyperlink>
    </w:p>
    <w:p w:rsidR="0027555A" w:rsidRDefault="0027555A" w:rsidP="0027555A"/>
    <w:p w:rsidR="0027555A" w:rsidRDefault="0027555A" w:rsidP="0027555A">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27555A" w:rsidRDefault="0027555A" w:rsidP="0027555A">
      <w:r>
        <w:t>RBI/2021-2022/101</w:t>
      </w:r>
      <w:r>
        <w:br/>
        <w:t>A.P. (DIR Series) Circular No.13</w:t>
      </w:r>
    </w:p>
    <w:p w:rsidR="0027555A" w:rsidRDefault="0027555A" w:rsidP="0027555A">
      <w:r>
        <w:t>September 28, 2021</w:t>
      </w:r>
    </w:p>
    <w:p w:rsidR="0027555A" w:rsidRDefault="0027555A" w:rsidP="0027555A">
      <w:r>
        <w:t>To</w:t>
      </w:r>
    </w:p>
    <w:p w:rsidR="0027555A" w:rsidRDefault="0027555A" w:rsidP="0027555A">
      <w:r>
        <w:t>All Category-I Authorised Dealer Banks</w:t>
      </w:r>
    </w:p>
    <w:p w:rsidR="0027555A" w:rsidRDefault="0027555A" w:rsidP="0027555A">
      <w:pPr>
        <w:rPr>
          <w:b/>
          <w:bCs/>
        </w:rPr>
      </w:pPr>
      <w:r>
        <w:rPr>
          <w:b/>
          <w:bCs/>
        </w:rPr>
        <w:t>Use of any Alternative reference rate in place of LIBOR for interest payable in respect of export / import transactions</w:t>
      </w:r>
    </w:p>
    <w:p w:rsidR="0027555A" w:rsidRDefault="0027555A" w:rsidP="0027555A">
      <w:r>
        <w:t>Attention of Authorised Dealer Category– I banks (AD banks) is invited to extant Regulation 15 of Foreign Exchange Management (Export of Goods &amp; Services) Regulations, 2015 notified vide </w:t>
      </w:r>
      <w:hyperlink r:id="rId45"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27555A" w:rsidRDefault="0027555A" w:rsidP="0027555A">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46" w:tgtFrame="_blank" w:history="1">
        <w:r>
          <w:rPr>
            <w:rStyle w:val="Hyperlink"/>
          </w:rPr>
          <w:t>Notification No. FEMA 23(R)/(5)/2021-RB dated September 08, 2021</w:t>
        </w:r>
      </w:hyperlink>
      <w:r>
        <w:t> (</w:t>
      </w:r>
      <w:hyperlink r:id="rId47" w:tgtFrame="_blank" w:history="1">
        <w:r>
          <w:rPr>
            <w:rStyle w:val="Hyperlink"/>
          </w:rPr>
          <w:t>copy enclosed</w:t>
        </w:r>
      </w:hyperlink>
      <w:r>
        <w:t>).</w:t>
      </w:r>
    </w:p>
    <w:p w:rsidR="0027555A" w:rsidRDefault="0027555A" w:rsidP="0027555A">
      <w:r>
        <w:t>3. AD banks may bring the contents of this circular to the notice of their constituents concerned.</w:t>
      </w:r>
    </w:p>
    <w:p w:rsidR="0027555A" w:rsidRDefault="0027555A" w:rsidP="0027555A">
      <w:r>
        <w:t>4. The directions contained in this circular have been issued under Section 10(4) and Section 11(1) of the FEMA, 1999 (42 of 1999) and are without prejudice to permissions / approvals, if any, required under any other law.</w:t>
      </w:r>
    </w:p>
    <w:p w:rsidR="0027555A" w:rsidRDefault="0027555A" w:rsidP="0027555A">
      <w:r>
        <w:t>Yours faithfully,</w:t>
      </w:r>
    </w:p>
    <w:p w:rsidR="0027555A" w:rsidRDefault="0027555A" w:rsidP="0027555A">
      <w:r>
        <w:t>(R. S. Amar)</w:t>
      </w:r>
      <w:r>
        <w:br/>
        <w:t>Chief General Manager</w:t>
      </w:r>
    </w:p>
    <w:p w:rsidR="0027555A" w:rsidRDefault="0027555A" w:rsidP="0027555A">
      <w:r>
        <w:t xml:space="preserve">Reference link: </w:t>
      </w:r>
      <w:hyperlink r:id="rId48" w:history="1">
        <w:r>
          <w:rPr>
            <w:rStyle w:val="Hyperlink"/>
          </w:rPr>
          <w:t>https://www.rbi.org.in/Scripts/NotificationUser.aspx?Id=12168&amp;Mode=0</w:t>
        </w:r>
      </w:hyperlink>
    </w:p>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Pr>
        <w:rPr>
          <w:rFonts w:ascii="Arial" w:hAnsi="Arial" w:cs="Arial"/>
          <w:b/>
          <w:bCs/>
          <w:color w:val="000000"/>
          <w:sz w:val="20"/>
          <w:szCs w:val="20"/>
        </w:rPr>
      </w:pPr>
    </w:p>
    <w:p w:rsidR="0027555A" w:rsidRDefault="0027555A" w:rsidP="0027555A">
      <w:pPr>
        <w:rPr>
          <w:rFonts w:ascii="Arial" w:hAnsi="Arial" w:cs="Arial"/>
          <w:b/>
          <w:bCs/>
          <w:color w:val="000000"/>
          <w:sz w:val="20"/>
          <w:szCs w:val="20"/>
        </w:rPr>
      </w:pPr>
      <w:r>
        <w:rPr>
          <w:rFonts w:ascii="Arial" w:hAnsi="Arial" w:cs="Arial"/>
          <w:b/>
          <w:bCs/>
          <w:color w:val="000000"/>
          <w:sz w:val="20"/>
          <w:szCs w:val="20"/>
        </w:rPr>
        <w:t>Master Direction – Reserve Bank of India (Transfer of Loan Exposures) Directions, 2021</w:t>
      </w:r>
    </w:p>
    <w:p w:rsidR="0027555A" w:rsidRDefault="0027555A" w:rsidP="0027555A">
      <w:r>
        <w:t>RBI/DOR/2021-22/86</w:t>
      </w:r>
      <w:r>
        <w:br/>
        <w:t>DOR.STR.REC.51/21.04.048/2021-22</w:t>
      </w:r>
    </w:p>
    <w:p w:rsidR="0027555A" w:rsidRDefault="0027555A" w:rsidP="0027555A">
      <w:r>
        <w:t>September 24, 2021</w:t>
      </w:r>
    </w:p>
    <w:p w:rsidR="0027555A" w:rsidRDefault="0027555A" w:rsidP="0027555A">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27555A" w:rsidRDefault="0027555A" w:rsidP="0027555A">
      <w:pPr>
        <w:rPr>
          <w:b/>
          <w:bCs/>
        </w:rPr>
      </w:pPr>
      <w:r>
        <w:rPr>
          <w:b/>
          <w:bCs/>
        </w:rPr>
        <w:t>Master Direction – Reserve Bank of India (Transfer of Loan Exposures) Directions, 2021</w:t>
      </w:r>
    </w:p>
    <w:p w:rsidR="0027555A" w:rsidRDefault="0027555A" w:rsidP="0027555A">
      <w:r>
        <w:t>Please refer to the Draft Comprehensive Framework for Sale of Loan Exposures that was released on </w:t>
      </w:r>
      <w:hyperlink r:id="rId49" w:tgtFrame="_blank" w:history="1">
        <w:r>
          <w:rPr>
            <w:rStyle w:val="Hyperlink"/>
          </w:rPr>
          <w:t>June 8, 2020</w:t>
        </w:r>
      </w:hyperlink>
      <w:r>
        <w:t> for comments from various stakeholders.</w:t>
      </w:r>
    </w:p>
    <w:p w:rsidR="0027555A" w:rsidRDefault="0027555A" w:rsidP="0027555A">
      <w:r>
        <w:t>2. Based on the examination of the comments received, the Reserve Bank has issued the Master Direction – Reserve Bank of India (Transfer of Loan Exposures) Directions, 2021, which are </w:t>
      </w:r>
      <w:hyperlink r:id="rId50"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27555A" w:rsidRDefault="0027555A" w:rsidP="0027555A">
      <w:r>
        <w:t>3. These directions come into immediate effect replacing the existing instructions on the matter of sale / transfer of loan exposures. All lending institutions are advised to take necessary steps to ensure compliance with these directions.</w:t>
      </w:r>
    </w:p>
    <w:p w:rsidR="0027555A" w:rsidRDefault="0027555A" w:rsidP="0027555A">
      <w:r>
        <w:t>Yours faithfully,</w:t>
      </w:r>
    </w:p>
    <w:p w:rsidR="0027555A" w:rsidRDefault="0027555A" w:rsidP="0027555A">
      <w:r>
        <w:t>(</w:t>
      </w:r>
      <w:proofErr w:type="spellStart"/>
      <w:r>
        <w:t>Manoranjan</w:t>
      </w:r>
      <w:proofErr w:type="spellEnd"/>
      <w:r>
        <w:t xml:space="preserve"> Mishra)</w:t>
      </w:r>
      <w:r>
        <w:br/>
        <w:t>Chief General Manager</w:t>
      </w:r>
    </w:p>
    <w:p w:rsidR="0027555A" w:rsidRDefault="0027555A" w:rsidP="0027555A">
      <w:r>
        <w:t xml:space="preserve">Reference link: </w:t>
      </w:r>
      <w:hyperlink r:id="rId51" w:history="1">
        <w:r>
          <w:rPr>
            <w:rStyle w:val="Hyperlink"/>
          </w:rPr>
          <w:t>https://www.rbi.org.in/Scripts/NotificationUser.aspx?Id=12166&amp;Mode=0</w:t>
        </w:r>
      </w:hyperlink>
    </w:p>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 w:rsidR="0027555A" w:rsidRDefault="0027555A" w:rsidP="0027555A">
      <w:pPr>
        <w:rPr>
          <w:rFonts w:ascii="Arial" w:hAnsi="Arial" w:cs="Arial"/>
          <w:b/>
          <w:bCs/>
          <w:color w:val="000000"/>
          <w:sz w:val="20"/>
          <w:szCs w:val="20"/>
        </w:rPr>
      </w:pPr>
    </w:p>
    <w:p w:rsidR="0027555A" w:rsidRDefault="0027555A" w:rsidP="0027555A">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rsidR="0027555A" w:rsidRDefault="0027555A" w:rsidP="0027555A">
      <w:r>
        <w:t>RBI/DOR/2021-22/85</w:t>
      </w:r>
      <w:r>
        <w:br/>
        <w:t>DOR.STR.REC.53/21.04.177/2021-22</w:t>
      </w:r>
    </w:p>
    <w:p w:rsidR="0027555A" w:rsidRDefault="0027555A" w:rsidP="0027555A">
      <w:r>
        <w:t>September 24, 2021</w:t>
      </w:r>
    </w:p>
    <w:p w:rsidR="0027555A" w:rsidRDefault="0027555A" w:rsidP="0027555A">
      <w:r>
        <w:t>All Scheduled Commercial Banks (including Small Finance Banks but excluding Regional Rural Banks);</w:t>
      </w:r>
      <w:r>
        <w:br/>
        <w:t>All All-India Term Financial Institutions (NABARD, NHB, EXIM Bank, and SIDBI);</w:t>
      </w:r>
      <w:r>
        <w:br/>
        <w:t>All Non-Banking Financial Companies (NBFCs) including Housing Finance Companies (HFCs)</w:t>
      </w:r>
    </w:p>
    <w:p w:rsidR="0027555A" w:rsidRDefault="0027555A" w:rsidP="0027555A">
      <w:pPr>
        <w:rPr>
          <w:b/>
          <w:bCs/>
        </w:rPr>
      </w:pPr>
      <w:r>
        <w:rPr>
          <w:b/>
          <w:bCs/>
        </w:rPr>
        <w:t>Master Direction – Reserve Bank of India (Securitisation of Standard Assets) Directions, 2021</w:t>
      </w:r>
    </w:p>
    <w:p w:rsidR="0027555A" w:rsidRDefault="0027555A" w:rsidP="0027555A">
      <w:r>
        <w:t>Please refer to the Draft Framework for Securitisation of Standard Assets that was released on </w:t>
      </w:r>
      <w:hyperlink r:id="rId52" w:tgtFrame="_blank" w:history="1">
        <w:r>
          <w:rPr>
            <w:rStyle w:val="Hyperlink"/>
          </w:rPr>
          <w:t>June 8, 2020</w:t>
        </w:r>
      </w:hyperlink>
      <w:r>
        <w:t> for comments from various stakeholders.</w:t>
      </w:r>
    </w:p>
    <w:p w:rsidR="0027555A" w:rsidRDefault="0027555A" w:rsidP="0027555A">
      <w:r>
        <w:t>2. Based on the examination of the comments received, the Reserve Bank has issued the Master Direction – Reserve Bank of India (Securitisation of Standard Assets) Directions, 2021, which are </w:t>
      </w:r>
      <w:hyperlink r:id="rId53" w:anchor="ANC1" w:history="1">
        <w:r>
          <w:rPr>
            <w:rStyle w:val="Hyperlink"/>
          </w:rPr>
          <w:t>enclosed</w:t>
        </w:r>
      </w:hyperlink>
      <w:r>
        <w:t>. These directions have been issued in exercise of the powers conferred by the Sections 21 and 35A of the Banking Regulation Act, 1949; Chapter IIIB of the Reserve Bank of India Act, 1934; and Sections 30A, 32 and 33 of the National Housing Bank Act, 1987.</w:t>
      </w:r>
    </w:p>
    <w:p w:rsidR="0027555A" w:rsidRDefault="0027555A" w:rsidP="0027555A">
      <w:r>
        <w:t>3. These directions come into immediate effect replacing the existing instructions on the matter of securitisation of standard assets. All lending institutions are advised to take necessary steps to ensure compliance with these directions.</w:t>
      </w:r>
    </w:p>
    <w:p w:rsidR="0027555A" w:rsidRDefault="0027555A" w:rsidP="0027555A">
      <w:r>
        <w:t>Yours faithfully,</w:t>
      </w:r>
    </w:p>
    <w:p w:rsidR="0027555A" w:rsidRDefault="0027555A" w:rsidP="0027555A">
      <w:r>
        <w:t>(</w:t>
      </w:r>
      <w:proofErr w:type="spellStart"/>
      <w:r>
        <w:t>Manoranjan</w:t>
      </w:r>
      <w:proofErr w:type="spellEnd"/>
      <w:r>
        <w:t xml:space="preserve"> Mishra)</w:t>
      </w:r>
      <w:r>
        <w:br/>
        <w:t>Chief General Manager</w:t>
      </w:r>
    </w:p>
    <w:p w:rsidR="0027555A" w:rsidRDefault="0027555A" w:rsidP="0027555A">
      <w:r>
        <w:t xml:space="preserve">Reference link: </w:t>
      </w:r>
      <w:hyperlink r:id="rId54" w:history="1">
        <w:r>
          <w:rPr>
            <w:rStyle w:val="Hyperlink"/>
          </w:rPr>
          <w:t>https://www.rbi.org.in/Scripts/NotificationUser.aspx?Id=12165&amp;Mode=0</w:t>
        </w:r>
      </w:hyperlink>
    </w:p>
    <w:p w:rsidR="0027555A" w:rsidRDefault="0027555A" w:rsidP="0027555A"/>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Guidelines on Compensation of Whole Time Directors/ Chief Executive Officers/ Material Risk Takers and Control Function staff – Clarification</w:t>
      </w:r>
    </w:p>
    <w:p w:rsidR="0027555A" w:rsidRDefault="0027555A" w:rsidP="0027555A">
      <w:r>
        <w:t>RBI/2021-22/95</w:t>
      </w:r>
      <w:r>
        <w:br/>
        <w:t>DOR.GOV.REC.44/29.67.001/2021-22</w:t>
      </w:r>
    </w:p>
    <w:p w:rsidR="0027555A" w:rsidRDefault="0027555A" w:rsidP="0027555A">
      <w:r>
        <w:t>August 30, 2021</w:t>
      </w:r>
    </w:p>
    <w:p w:rsidR="0027555A" w:rsidRDefault="0027555A" w:rsidP="0027555A">
      <w:pPr>
        <w:rPr>
          <w:b/>
          <w:bCs/>
        </w:rPr>
      </w:pPr>
      <w:r>
        <w:rPr>
          <w:b/>
          <w:bCs/>
        </w:rPr>
        <w:t>All Private Sector Banks (including Local Area Banks, Small Finance</w:t>
      </w:r>
      <w:r>
        <w:rPr>
          <w:b/>
          <w:bCs/>
        </w:rPr>
        <w:br/>
        <w:t>Banks, Payments Banks) and Foreign Banks operating in India</w:t>
      </w:r>
    </w:p>
    <w:p w:rsidR="0027555A" w:rsidRDefault="0027555A" w:rsidP="0027555A">
      <w:r>
        <w:t>Dear Sir/Madam,</w:t>
      </w:r>
    </w:p>
    <w:p w:rsidR="0027555A" w:rsidRDefault="0027555A" w:rsidP="0027555A">
      <w:pPr>
        <w:rPr>
          <w:b/>
          <w:bCs/>
        </w:rPr>
      </w:pPr>
      <w:r>
        <w:rPr>
          <w:b/>
          <w:bCs/>
        </w:rPr>
        <w:t>Guidelines on Compensation of Whole Time Directors/ Chief Executive Officers/ Material Risk Takers and Control Function staff - Clarification</w:t>
      </w:r>
    </w:p>
    <w:p w:rsidR="0027555A" w:rsidRDefault="0027555A" w:rsidP="0027555A">
      <w:r>
        <w:t>Please refer to para 2.1.2 (f) of our </w:t>
      </w:r>
      <w:hyperlink r:id="rId55" w:tgtFrame="_blank" w:history="1">
        <w:r>
          <w:rPr>
            <w:rStyle w:val="Hyperlink"/>
          </w:rPr>
          <w:t>circular DOR.Appt.BC.No.23/29.67.001/2019-20 dated November 04, 2019</w:t>
        </w:r>
      </w:hyperlink>
      <w:r>
        <w:t> on the captioned subject. In terms of the extant guidelines, share-linked instruments are required to be fair valued on the date of grant using Black-Scholes model. However, it has been observed that banks do not recognise grant of the share-linked compensation as an expense in their books of account concurrently. Therefore, in the interest of better clarity, the following sentence is being added to the extant instructions contained in the said paragraph:</w:t>
      </w:r>
    </w:p>
    <w:p w:rsidR="0027555A" w:rsidRDefault="0027555A" w:rsidP="0027555A">
      <w:pPr>
        <w:rPr>
          <w:b/>
          <w:bCs/>
        </w:rPr>
      </w:pPr>
      <w:r>
        <w:rPr>
          <w:b/>
          <w:bCs/>
        </w:rPr>
        <w:t>“The fair value thus arrived at should be recognised as expense beginning with the accounting period for which approval has been granted”.</w:t>
      </w:r>
    </w:p>
    <w:p w:rsidR="0027555A" w:rsidRDefault="0027555A" w:rsidP="0027555A">
      <w:r>
        <w:t>2. Banks should ensure compliance to above instructions for all share-linked instruments granted after the accounting period ending March 31, 2021.</w:t>
      </w:r>
    </w:p>
    <w:p w:rsidR="0027555A" w:rsidRDefault="0027555A" w:rsidP="0027555A">
      <w:r>
        <w:t>Yours faithfully,</w:t>
      </w:r>
    </w:p>
    <w:p w:rsidR="0027555A" w:rsidRDefault="0027555A" w:rsidP="0027555A">
      <w:pPr>
        <w:rPr>
          <w:b/>
          <w:bCs/>
        </w:rPr>
      </w:pPr>
      <w:r>
        <w:rPr>
          <w:b/>
          <w:bCs/>
        </w:rPr>
        <w:t>(</w:t>
      </w:r>
      <w:proofErr w:type="spellStart"/>
      <w:r>
        <w:rPr>
          <w:b/>
          <w:bCs/>
        </w:rPr>
        <w:t>Shrimohan</w:t>
      </w:r>
      <w:proofErr w:type="spellEnd"/>
      <w:r>
        <w:rPr>
          <w:b/>
          <w:bCs/>
        </w:rPr>
        <w:t xml:space="preserve"> Yadav)</w:t>
      </w:r>
      <w:r>
        <w:rPr>
          <w:b/>
          <w:bCs/>
        </w:rPr>
        <w:br/>
        <w:t>Chief General Manager</w:t>
      </w:r>
    </w:p>
    <w:p w:rsidR="0027555A" w:rsidRDefault="0027555A" w:rsidP="0027555A">
      <w:r>
        <w:t xml:space="preserve">Reference link: </w:t>
      </w:r>
      <w:hyperlink r:id="rId56" w:history="1">
        <w:r>
          <w:rPr>
            <w:rStyle w:val="Hyperlink"/>
          </w:rPr>
          <w:t>https://www.rbi.org.in/Scripts/NotificationUser.aspx?Id=12157&amp;Mode=0</w:t>
        </w:r>
      </w:hyperlink>
    </w:p>
    <w:p w:rsidR="0027555A" w:rsidRDefault="0027555A"/>
    <w:p w:rsidR="0027555A" w:rsidRDefault="0027555A">
      <w:pPr>
        <w:spacing w:line="259" w:lineRule="auto"/>
      </w:pPr>
      <w:r>
        <w:br w:type="page"/>
      </w:r>
    </w:p>
    <w:p w:rsidR="0027555A" w:rsidRDefault="0027555A" w:rsidP="0027555A">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27555A" w:rsidRDefault="0027555A" w:rsidP="0027555A">
      <w:r>
        <w:t>RBI/2021-22/94</w:t>
      </w:r>
      <w:r>
        <w:br/>
        <w:t>CO.DPSS.RPPD.No.S475/04.09.003/2021-22</w:t>
      </w:r>
    </w:p>
    <w:p w:rsidR="0027555A" w:rsidRDefault="0027555A" w:rsidP="0027555A">
      <w:r>
        <w:t>August 27, 2021</w:t>
      </w:r>
    </w:p>
    <w:p w:rsidR="0027555A" w:rsidRDefault="0027555A" w:rsidP="0027555A">
      <w:r>
        <w:t>The Chairman / Managing Director / Chief Executive Officer</w:t>
      </w:r>
      <w:r>
        <w:br/>
        <w:t>of all banks participating in NEFT</w:t>
      </w:r>
    </w:p>
    <w:p w:rsidR="0027555A" w:rsidRDefault="0027555A" w:rsidP="0027555A">
      <w:r>
        <w:t>Madam / Dear Sir,</w:t>
      </w:r>
    </w:p>
    <w:p w:rsidR="0027555A" w:rsidRDefault="0027555A" w:rsidP="0027555A">
      <w:pPr>
        <w:rPr>
          <w:b/>
          <w:bCs/>
        </w:rPr>
      </w:pPr>
      <w:r>
        <w:rPr>
          <w:b/>
          <w:bCs/>
        </w:rPr>
        <w:t>Enhancements to Indo-Nepal Remittance Facility Scheme</w:t>
      </w:r>
    </w:p>
    <w:p w:rsidR="0027555A" w:rsidRDefault="0027555A" w:rsidP="0027555A">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27555A" w:rsidRDefault="0027555A" w:rsidP="0027555A">
      <w:r>
        <w:t>2. A review of the Scheme has since been made and to boost trade payments between the two countries, as also to facilitate person-to-person remittances electronically to Nepal, the following enhancements are announced –</w:t>
      </w:r>
    </w:p>
    <w:p w:rsidR="0027555A" w:rsidRDefault="0027555A" w:rsidP="0027555A">
      <w:pPr>
        <w:numPr>
          <w:ilvl w:val="0"/>
          <w:numId w:val="3"/>
        </w:numPr>
      </w:pPr>
      <w:r>
        <w:t>Increase in the ceiling per transaction from ₹50,000 to ₹2 lakh.</w:t>
      </w:r>
    </w:p>
    <w:p w:rsidR="0027555A" w:rsidRDefault="0027555A" w:rsidP="0027555A">
      <w:pPr>
        <w:numPr>
          <w:ilvl w:val="0"/>
          <w:numId w:val="3"/>
        </w:numPr>
      </w:pPr>
      <w:r>
        <w:t>Removal of the cap of 12 remittances in a year per remitter.</w:t>
      </w:r>
    </w:p>
    <w:p w:rsidR="0027555A" w:rsidRDefault="0027555A" w:rsidP="0027555A">
      <w:pPr>
        <w:numPr>
          <w:ilvl w:val="0"/>
          <w:numId w:val="3"/>
        </w:numPr>
      </w:pPr>
      <w:r>
        <w:t>As hitherto, banks shall accept remittances by way of cash from walk-in customers or non-customers. The ceiling of ₹50,000 per remittance with a maximum of 12 remittances in a year shall, however, continue to apply for such remittances.</w:t>
      </w:r>
    </w:p>
    <w:p w:rsidR="0027555A" w:rsidRDefault="0027555A" w:rsidP="0027555A">
      <w:pPr>
        <w:numPr>
          <w:ilvl w:val="0"/>
          <w:numId w:val="3"/>
        </w:numPr>
      </w:pPr>
      <w:r>
        <w:t>The charges for transactions up to ₹50,000 shall continue as provided in </w:t>
      </w:r>
      <w:hyperlink r:id="rId57" w:tgtFrame="_blank" w:history="1">
        <w:r>
          <w:rPr>
            <w:rStyle w:val="Hyperlink"/>
          </w:rPr>
          <w:t>circular DPSS (CO) No.1381/04.09.003/2008-09 dated February 09, 2009</w:t>
        </w:r>
      </w:hyperlink>
      <w:r>
        <w:t>. For transactions beyond ₹50,000, the charges prescribed by SBI shall apply.</w:t>
      </w:r>
    </w:p>
    <w:p w:rsidR="0027555A" w:rsidRDefault="0027555A" w:rsidP="0027555A">
      <w:pPr>
        <w:numPr>
          <w:ilvl w:val="0"/>
          <w:numId w:val="3"/>
        </w:numPr>
      </w:pPr>
      <w:r>
        <w:t>The banks shall put in place suitable velocity checks and other risk mitigation procedures.</w:t>
      </w:r>
    </w:p>
    <w:p w:rsidR="0027555A" w:rsidRDefault="0027555A" w:rsidP="0027555A">
      <w:r>
        <w:t>3. The enhancements are also expected to facilitate payments relating to retirement, pension, etc., to our ex-servicemen who have settled / relocated in Nepal.</w:t>
      </w:r>
    </w:p>
    <w:p w:rsidR="0027555A" w:rsidRDefault="0027555A" w:rsidP="0027555A">
      <w:r>
        <w:t>4. These directions are issued under Section 10 (2) read with Section 18 of Payment and Settlement Systems Act, 2007 (Act 51 of 2007) and shall come into effect from October 01, 2021.</w:t>
      </w:r>
    </w:p>
    <w:p w:rsidR="0027555A" w:rsidRDefault="0027555A" w:rsidP="0027555A">
      <w:r>
        <w:t>Yours faithfully,</w:t>
      </w:r>
    </w:p>
    <w:p w:rsidR="0027555A" w:rsidRDefault="0027555A" w:rsidP="0027555A">
      <w:r>
        <w:t xml:space="preserve">(P </w:t>
      </w:r>
      <w:proofErr w:type="spellStart"/>
      <w:r>
        <w:t>Vasudevan</w:t>
      </w:r>
      <w:proofErr w:type="spellEnd"/>
      <w:r>
        <w:t>)</w:t>
      </w:r>
      <w:r>
        <w:br/>
        <w:t>Chief General Manager</w:t>
      </w:r>
    </w:p>
    <w:p w:rsidR="0027555A" w:rsidRDefault="0027555A" w:rsidP="0027555A">
      <w:r>
        <w:t xml:space="preserve">Reference link: </w:t>
      </w:r>
      <w:hyperlink r:id="rId58" w:history="1">
        <w:r>
          <w:rPr>
            <w:rStyle w:val="Hyperlink"/>
          </w:rPr>
          <w:t>https://www.rbi.org.in/Scripts/NotificationUser.aspx?Id=12155&amp;Mode=0</w:t>
        </w:r>
      </w:hyperlink>
    </w:p>
    <w:p w:rsidR="0027555A" w:rsidRDefault="0027555A"/>
    <w:p w:rsidR="0027555A" w:rsidRDefault="0027555A">
      <w:pPr>
        <w:spacing w:line="259" w:lineRule="auto"/>
      </w:pPr>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A061E0" w:rsidRDefault="00A061E0" w:rsidP="00A061E0">
      <w:r>
        <w:t>RBI/DOR/2021-22/81</w:t>
      </w:r>
      <w:r>
        <w:br/>
        <w:t>DOR.MRG.42/21.04.141/2021-22</w:t>
      </w:r>
    </w:p>
    <w:p w:rsidR="00A061E0" w:rsidRDefault="00A061E0" w:rsidP="00A061E0">
      <w:r>
        <w:t>August 25, 2021</w:t>
      </w:r>
    </w:p>
    <w:p w:rsidR="00A061E0" w:rsidRDefault="00A061E0" w:rsidP="00A061E0">
      <w:r>
        <w:t>All Commercial Banks (excluding RRBs)</w:t>
      </w:r>
    </w:p>
    <w:p w:rsidR="00A061E0" w:rsidRDefault="00A061E0" w:rsidP="00A061E0">
      <w:r>
        <w:t>Dear Sir / Madam,</w:t>
      </w:r>
    </w:p>
    <w:p w:rsidR="00A061E0" w:rsidRDefault="00A061E0" w:rsidP="00A061E0">
      <w:pPr>
        <w:rPr>
          <w:b/>
          <w:bCs/>
        </w:rPr>
      </w:pPr>
      <w:r>
        <w:rPr>
          <w:b/>
          <w:bCs/>
        </w:rPr>
        <w:t>Master Direction - Classification, Valuation and Operation of Investment Portfolio of Commercial Banks (Directions), 2021</w:t>
      </w:r>
    </w:p>
    <w:p w:rsidR="00A061E0" w:rsidRDefault="00A061E0" w:rsidP="00A061E0">
      <w:r>
        <w:t>The Reserve Bank of India has, from time to time, issued several guidelines / instructions / directives to the banks on Prudential Norms for Classification, Valuation and Operation of Investment Portfolio by Banks.</w:t>
      </w:r>
    </w:p>
    <w:p w:rsidR="00A061E0" w:rsidRDefault="00A061E0" w:rsidP="00A061E0">
      <w:r>
        <w:t>2. To enable banks to have current instructions at one place, a </w:t>
      </w:r>
      <w:hyperlink r:id="rId59" w:anchor="MD" w:history="1">
        <w:r>
          <w:rPr>
            <w:rStyle w:val="Hyperlink"/>
          </w:rPr>
          <w:t>Master Direction</w:t>
        </w:r>
      </w:hyperlink>
      <w:r>
        <w:t> incorporating all the existing guidelines / instructions / directives on the subject has been prepared for reference of the banks.</w:t>
      </w:r>
    </w:p>
    <w:p w:rsidR="00A061E0" w:rsidRDefault="00A061E0" w:rsidP="00A061E0">
      <w:r>
        <w:t>3. This Direction has been issued by RBI in exercise of its powers conferred under Section 35A of the Banking Regulation Act 1949 and of all the powers enabling it in this behalf.</w:t>
      </w:r>
    </w:p>
    <w:p w:rsidR="00A061E0" w:rsidRDefault="00A061E0" w:rsidP="00A061E0">
      <w:r>
        <w:t>Yours faithfully,</w:t>
      </w:r>
    </w:p>
    <w:p w:rsidR="00A061E0" w:rsidRDefault="00A061E0" w:rsidP="00A061E0">
      <w:r>
        <w:t>(</w:t>
      </w:r>
      <w:proofErr w:type="spellStart"/>
      <w:r>
        <w:t>Usha</w:t>
      </w:r>
      <w:proofErr w:type="spellEnd"/>
      <w:r>
        <w:t xml:space="preserve"> </w:t>
      </w:r>
      <w:proofErr w:type="spellStart"/>
      <w:r>
        <w:t>Janakiraman</w:t>
      </w:r>
      <w:proofErr w:type="spellEnd"/>
      <w:r>
        <w:t>)</w:t>
      </w:r>
      <w:r>
        <w:br/>
        <w:t>Chief General Manager</w:t>
      </w:r>
    </w:p>
    <w:p w:rsidR="00A061E0" w:rsidRDefault="00A061E0" w:rsidP="00A061E0">
      <w:r>
        <w:t xml:space="preserve">Reference link: </w:t>
      </w:r>
      <w:hyperlink r:id="rId60" w:history="1">
        <w:r>
          <w:rPr>
            <w:rStyle w:val="Hyperlink"/>
          </w:rPr>
          <w:t>https://www.rbi.org.in/Scripts/NotificationUser.aspx?Id=12153&amp;Mode=0</w:t>
        </w:r>
      </w:hyperlink>
    </w:p>
    <w:p w:rsidR="00A061E0" w:rsidRDefault="00A061E0" w:rsidP="00A061E0"/>
    <w:p w:rsidR="00A061E0" w:rsidRDefault="00A061E0"/>
    <w:p w:rsidR="00A061E0" w:rsidRDefault="00A061E0">
      <w:pPr>
        <w:spacing w:line="259" w:lineRule="auto"/>
      </w:pPr>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rsidR="00A061E0" w:rsidRDefault="00A061E0" w:rsidP="00A061E0">
      <w:r>
        <w:t>RBI/2021-2022/86</w:t>
      </w:r>
      <w:r>
        <w:br/>
        <w:t>DOR.LEG.REC/40/09.07.005/2021-22</w:t>
      </w:r>
    </w:p>
    <w:p w:rsidR="00A061E0" w:rsidRDefault="00A061E0" w:rsidP="00A061E0">
      <w:r>
        <w:t>August 18, 2021</w:t>
      </w:r>
    </w:p>
    <w:p w:rsidR="00A061E0" w:rsidRDefault="00A061E0" w:rsidP="00A061E0">
      <w:r>
        <w:t>All Scheduled Commercial Banks (including RRBs)</w:t>
      </w:r>
      <w:r>
        <w:br/>
        <w:t>All Co-operative Banks</w:t>
      </w:r>
      <w:r>
        <w:br/>
        <w:t>All Small Finance Banks</w:t>
      </w:r>
      <w:r>
        <w:br/>
        <w:t>All Payments Banks</w:t>
      </w:r>
      <w:r>
        <w:br/>
        <w:t>All Local Area Banks</w:t>
      </w:r>
    </w:p>
    <w:p w:rsidR="00A061E0" w:rsidRDefault="00A061E0" w:rsidP="00A061E0">
      <w:r>
        <w:t>Madam/Sir,</w:t>
      </w:r>
    </w:p>
    <w:p w:rsidR="00A061E0" w:rsidRDefault="00A061E0" w:rsidP="00A061E0">
      <w:pPr>
        <w:rPr>
          <w:b/>
          <w:bCs/>
        </w:rPr>
      </w:pPr>
      <w:r>
        <w:rPr>
          <w:b/>
          <w:bCs/>
        </w:rPr>
        <w:t>Safe Deposit Locker/Safe Custody Article Facility provided by the banks- Revised Instructions</w:t>
      </w:r>
    </w:p>
    <w:p w:rsidR="00A061E0" w:rsidRDefault="00A061E0" w:rsidP="00A061E0">
      <w:r>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w:t>
      </w:r>
      <w:proofErr w:type="spellStart"/>
      <w:r>
        <w:t>Amitabha</w:t>
      </w:r>
      <w:proofErr w:type="spellEnd"/>
      <w:r>
        <w:t xml:space="preserve"> </w:t>
      </w:r>
      <w:proofErr w:type="spellStart"/>
      <w:r>
        <w:t>Dasgupta</w:t>
      </w:r>
      <w:proofErr w:type="spellEnd"/>
      <w:r>
        <w:t xml:space="preserve"> vs United Bank of India’, (Judgment dated February 19, 2021 in CA No. 3966 of 2010).</w:t>
      </w:r>
    </w:p>
    <w:p w:rsidR="00A061E0" w:rsidRDefault="00A061E0" w:rsidP="00A061E0">
      <w:r>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61" w:anchor="AN_1" w:history="1">
        <w:r>
          <w:rPr>
            <w:rStyle w:val="Hyperlink"/>
          </w:rPr>
          <w:t>Annex</w:t>
        </w:r>
      </w:hyperlink>
      <w:r>
        <w:t> to this circular, are issued in supersession of the earlier instructions issued by the Reserve Bank on the subject as listed in the </w:t>
      </w:r>
      <w:hyperlink r:id="rId62" w:anchor="AP_1" w:history="1">
        <w:r>
          <w:rPr>
            <w:rStyle w:val="Hyperlink"/>
          </w:rPr>
          <w:t>Appendix</w:t>
        </w:r>
      </w:hyperlink>
      <w:r>
        <w:t>. The banks are advised to frame their own Board approved policy/ operational guidelines in this regard taking into account the revised instructions.</w:t>
      </w:r>
    </w:p>
    <w:p w:rsidR="00A061E0" w:rsidRDefault="00A061E0" w:rsidP="00A061E0">
      <w:r>
        <w:t>3. The revised instructions shall come into force with effect from January 1, 2022 (except where otherwise specified) and be applicable to both new and existing safe deposit lockers and the safe custody of articles facility with the banks.</w:t>
      </w:r>
    </w:p>
    <w:p w:rsidR="00A061E0" w:rsidRDefault="00A061E0" w:rsidP="00A061E0">
      <w:r>
        <w:t>Yours faithfully,</w:t>
      </w:r>
    </w:p>
    <w:p w:rsidR="00A061E0" w:rsidRDefault="00A061E0" w:rsidP="00A061E0">
      <w:r>
        <w:t>(Thomas Mathew)</w:t>
      </w:r>
      <w:r>
        <w:br/>
        <w:t>Chief General Manager</w:t>
      </w:r>
    </w:p>
    <w:p w:rsidR="00A061E0" w:rsidRDefault="00A061E0" w:rsidP="00A061E0">
      <w:r>
        <w:t xml:space="preserve">Reference link: </w:t>
      </w:r>
      <w:hyperlink r:id="rId63" w:history="1">
        <w:r>
          <w:rPr>
            <w:rStyle w:val="Hyperlink"/>
          </w:rPr>
          <w:t>https://www.rbi.org.in/Scripts/NotificationUser.aspx?Id=12146&amp;Mode=0</w:t>
        </w:r>
      </w:hyperlink>
    </w:p>
    <w:p w:rsidR="00A061E0" w:rsidRDefault="00A061E0" w:rsidP="00A061E0"/>
    <w:p w:rsidR="00A061E0" w:rsidRDefault="00A061E0" w:rsidP="00A061E0">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rsidR="00A061E0" w:rsidRDefault="00A061E0" w:rsidP="00A061E0">
      <w:r>
        <w:t>RBI/2021-22/84</w:t>
      </w:r>
      <w:r>
        <w:br/>
        <w:t>DCM (RMMT) No.S153/11.01.01/2021-22</w:t>
      </w:r>
    </w:p>
    <w:p w:rsidR="00A061E0" w:rsidRDefault="00A061E0" w:rsidP="00A061E0">
      <w:r>
        <w:t>August 10, 2021</w:t>
      </w:r>
    </w:p>
    <w:p w:rsidR="00A061E0" w:rsidRDefault="00A061E0" w:rsidP="00A061E0">
      <w:r>
        <w:t>The Chairman /</w:t>
      </w:r>
      <w:r>
        <w:br/>
        <w:t>Managing Director &amp; CEO</w:t>
      </w:r>
      <w:r>
        <w:br/>
        <w:t>All Banks</w:t>
      </w:r>
    </w:p>
    <w:p w:rsidR="00A061E0" w:rsidRDefault="00A061E0" w:rsidP="00A061E0">
      <w:r>
        <w:t>Dear Sir / Madam,</w:t>
      </w:r>
    </w:p>
    <w:p w:rsidR="00A061E0" w:rsidRDefault="00A061E0" w:rsidP="00A061E0">
      <w:pPr>
        <w:rPr>
          <w:b/>
          <w:bCs/>
        </w:rPr>
      </w:pPr>
      <w:r>
        <w:rPr>
          <w:b/>
          <w:bCs/>
        </w:rPr>
        <w:t>Monitoring of Availability of Cash in ATMs</w:t>
      </w:r>
    </w:p>
    <w:p w:rsidR="00A061E0" w:rsidRDefault="00A061E0" w:rsidP="00A061E0">
      <w:r>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rsidR="00A061E0" w:rsidRDefault="00A061E0" w:rsidP="00A061E0">
      <w:r>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Pr>
          <w:b/>
          <w:bCs/>
        </w:rPr>
        <w:t>“Scheme of Penalty for non-replenishment of ATMs”</w:t>
      </w:r>
      <w:r>
        <w:t> in the </w:t>
      </w:r>
      <w:hyperlink r:id="rId64" w:anchor="ANN1" w:history="1">
        <w:r>
          <w:rPr>
            <w:rStyle w:val="Hyperlink"/>
          </w:rPr>
          <w:t>Annex</w:t>
        </w:r>
      </w:hyperlink>
      <w:r>
        <w:t>. The Scheme shall be effective from October 01, 2021.</w:t>
      </w:r>
    </w:p>
    <w:p w:rsidR="00A061E0" w:rsidRDefault="00A061E0" w:rsidP="00A061E0">
      <w:r>
        <w:t>Yours faithfully,</w:t>
      </w:r>
    </w:p>
    <w:p w:rsidR="00A061E0" w:rsidRDefault="00A061E0" w:rsidP="00A061E0">
      <w:r>
        <w:t>(</w:t>
      </w:r>
      <w:proofErr w:type="spellStart"/>
      <w:r>
        <w:t>Subrata</w:t>
      </w:r>
      <w:proofErr w:type="spellEnd"/>
      <w:r>
        <w:t xml:space="preserve"> Das)</w:t>
      </w:r>
      <w:r>
        <w:br/>
        <w:t>Chief General Manager-in-Charge</w:t>
      </w:r>
    </w:p>
    <w:p w:rsidR="00A061E0" w:rsidRDefault="00A061E0" w:rsidP="00A061E0">
      <w:proofErr w:type="spellStart"/>
      <w:r>
        <w:t>Encl</w:t>
      </w:r>
      <w:proofErr w:type="spellEnd"/>
      <w:r>
        <w:t>: As above</w:t>
      </w:r>
    </w:p>
    <w:p w:rsidR="00A061E0" w:rsidRDefault="00A061E0" w:rsidP="00A061E0">
      <w:r>
        <w:t xml:space="preserve">Reference link: </w:t>
      </w:r>
      <w:hyperlink r:id="rId65" w:history="1">
        <w:r>
          <w:rPr>
            <w:rStyle w:val="Hyperlink"/>
          </w:rPr>
          <w:t>https://www.rbi.org.in/Scripts/NotificationUser.aspx?Id=12144&amp;Mode=0</w:t>
        </w:r>
      </w:hyperlink>
    </w:p>
    <w:p w:rsidR="00A061E0" w:rsidRDefault="00A061E0"/>
    <w:p w:rsidR="00A061E0" w:rsidRDefault="00A061E0">
      <w:pPr>
        <w:spacing w:line="259" w:lineRule="auto"/>
      </w:pPr>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Guidelines for Implementation of the circular on Opening of Current Accounts by Banks</w:t>
      </w:r>
    </w:p>
    <w:p w:rsidR="00A061E0" w:rsidRDefault="00A061E0" w:rsidP="00A061E0">
      <w:r>
        <w:t>RBI/2021-22/77</w:t>
      </w:r>
      <w:r>
        <w:br/>
        <w:t>DOR.CRE.REC.35/21.04.048/2021-22</w:t>
      </w:r>
    </w:p>
    <w:p w:rsidR="00A061E0" w:rsidRDefault="00A061E0" w:rsidP="00A061E0">
      <w:r>
        <w:t>August 04, 2021</w:t>
      </w:r>
    </w:p>
    <w:p w:rsidR="00A061E0" w:rsidRDefault="00A061E0" w:rsidP="00A061E0">
      <w:r>
        <w:t>To,</w:t>
      </w:r>
    </w:p>
    <w:p w:rsidR="00A061E0" w:rsidRDefault="00A061E0" w:rsidP="00A061E0">
      <w:r>
        <w:t>All Scheduled Commercial Banks</w:t>
      </w:r>
      <w:r>
        <w:br/>
        <w:t>All Payments Banks</w:t>
      </w:r>
    </w:p>
    <w:p w:rsidR="00A061E0" w:rsidRDefault="00A061E0" w:rsidP="00A061E0">
      <w:r>
        <w:t>Madam / Dear Sir,</w:t>
      </w:r>
    </w:p>
    <w:p w:rsidR="00A061E0" w:rsidRDefault="00A061E0" w:rsidP="00A061E0">
      <w:pPr>
        <w:rPr>
          <w:b/>
          <w:bCs/>
        </w:rPr>
      </w:pPr>
      <w:r>
        <w:rPr>
          <w:b/>
          <w:bCs/>
        </w:rPr>
        <w:t>Guidelines for Implementation of the circular on</w:t>
      </w:r>
      <w:r>
        <w:rPr>
          <w:b/>
          <w:bCs/>
        </w:rPr>
        <w:br/>
        <w:t>Opening of Current Accounts by Banks</w:t>
      </w:r>
    </w:p>
    <w:p w:rsidR="00A061E0" w:rsidRDefault="00A061E0" w:rsidP="00A061E0">
      <w:r>
        <w:t>Please refer to </w:t>
      </w:r>
      <w:hyperlink r:id="rId66" w:tgtFrame="_blank" w:history="1">
        <w:r>
          <w:rPr>
            <w:rStyle w:val="Hyperlink"/>
          </w:rPr>
          <w:t xml:space="preserve">circulars </w:t>
        </w:r>
        <w:proofErr w:type="spellStart"/>
        <w:r>
          <w:rPr>
            <w:rStyle w:val="Hyperlink"/>
          </w:rPr>
          <w:t>DOR.No.BP.BC</w:t>
        </w:r>
        <w:proofErr w:type="spellEnd"/>
        <w:r>
          <w:rPr>
            <w:rStyle w:val="Hyperlink"/>
          </w:rPr>
          <w:t>/7/21.04.048/2020-21 dated August 6, 2020</w:t>
        </w:r>
      </w:hyperlink>
      <w:r>
        <w:t>, </w:t>
      </w:r>
      <w:hyperlink r:id="rId67" w:tgtFrame="_blank" w:history="1">
        <w:r>
          <w:rPr>
            <w:rStyle w:val="Hyperlink"/>
          </w:rPr>
          <w:t>DOR.No.BP.BC.27/21.04.048/2020-21 dated November 2, 2020</w:t>
        </w:r>
      </w:hyperlink>
      <w:r>
        <w:t> and </w:t>
      </w:r>
      <w:hyperlink r:id="rId68" w:tgtFrame="_blank" w:history="1">
        <w:r>
          <w:rPr>
            <w:rStyle w:val="Hyperlink"/>
          </w:rPr>
          <w:t>DOR.No.BP.BC.30/21.04.048/2020-21 dated December 14, 2020</w:t>
        </w:r>
      </w:hyperlink>
      <w:r>
        <w:t> on Opening of Current Accounts by Banks - Need for Discipline.</w:t>
      </w:r>
    </w:p>
    <w:p w:rsidR="00A061E0" w:rsidRDefault="00A061E0" w:rsidP="00A061E0">
      <w:r>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t>bonafide</w:t>
      </w:r>
      <w:proofErr w:type="spellEnd"/>
      <w:r>
        <w:t xml:space="preserve"> business requirements of the borrowers in mind.</w:t>
      </w:r>
    </w:p>
    <w:p w:rsidR="00A061E0" w:rsidRDefault="00A061E0" w:rsidP="00A061E0"/>
    <w:p w:rsidR="00A061E0" w:rsidRDefault="00A061E0" w:rsidP="00A061E0">
      <w:r>
        <w:t>The timeline for implementing the notifications as mentioned in circular and resolving the operational issues is till October 31, 2021. For more details, click on the link below</w:t>
      </w:r>
    </w:p>
    <w:p w:rsidR="00A061E0" w:rsidRDefault="00A061E0" w:rsidP="00A061E0">
      <w:r>
        <w:t xml:space="preserve">Reference link: </w:t>
      </w:r>
      <w:hyperlink r:id="rId69" w:history="1">
        <w:r>
          <w:rPr>
            <w:rStyle w:val="Hyperlink"/>
          </w:rPr>
          <w:t>https://www.rbi.org.in/Scripts/NotificationUser.aspx?Id=12137&amp;Mode=0</w:t>
        </w:r>
      </w:hyperlink>
    </w:p>
    <w:p w:rsidR="00A061E0" w:rsidRDefault="00A061E0"/>
    <w:p w:rsidR="00A061E0" w:rsidRDefault="00A061E0">
      <w:pPr>
        <w:spacing w:line="259" w:lineRule="auto"/>
      </w:pPr>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[Cash Reserve Ratio (CRR) and Statutory Liquidity Ratio (SLR)] Directions – 2021</w:t>
      </w:r>
    </w:p>
    <w:p w:rsidR="00A061E0" w:rsidRDefault="00A061E0" w:rsidP="00A061E0">
      <w:r>
        <w:t>RBI/DOR/2021-22/80</w:t>
      </w:r>
      <w:r>
        <w:br/>
        <w:t>DOR.No.RET.REC.32/12.01.001/2021-22</w:t>
      </w:r>
    </w:p>
    <w:p w:rsidR="00A061E0" w:rsidRDefault="00A061E0" w:rsidP="00A061E0">
      <w:r>
        <w:t>July 20, 2021</w:t>
      </w:r>
    </w:p>
    <w:p w:rsidR="00A061E0" w:rsidRDefault="00A061E0" w:rsidP="00A061E0">
      <w:pPr>
        <w:rPr>
          <w:b/>
          <w:bCs/>
        </w:rPr>
      </w:pPr>
      <w:r>
        <w:rPr>
          <w:b/>
          <w:bCs/>
        </w:rPr>
        <w:t>Master Direction - Reserve Bank of India</w:t>
      </w:r>
      <w:r>
        <w:rPr>
          <w:b/>
          <w:bCs/>
        </w:rPr>
        <w:br/>
        <w:t>[Cash Reserve Ratio (CRR) and Statutory Liquidity Ratio (SLR)] Directions - 2021</w:t>
      </w:r>
    </w:p>
    <w:p w:rsidR="00A061E0" w:rsidRDefault="00A061E0" w:rsidP="00A061E0">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A061E0" w:rsidRDefault="00A061E0" w:rsidP="00A061E0">
      <w:r>
        <w:t>The direction details on the following:</w:t>
      </w:r>
    </w:p>
    <w:p w:rsidR="00A061E0" w:rsidRDefault="00A061E0" w:rsidP="00A061E0">
      <w:pPr>
        <w:rPr>
          <w:b/>
          <w:bCs/>
        </w:rPr>
      </w:pPr>
      <w:r>
        <w:rPr>
          <w:b/>
          <w:bCs/>
        </w:rPr>
        <w:t>CHAPTER – I - PRELIMINARY</w:t>
      </w:r>
    </w:p>
    <w:p w:rsidR="00A061E0" w:rsidRDefault="00A061E0" w:rsidP="00A061E0">
      <w:pPr>
        <w:rPr>
          <w:b/>
          <w:bCs/>
        </w:rPr>
      </w:pPr>
      <w:r>
        <w:rPr>
          <w:b/>
          <w:bCs/>
        </w:rPr>
        <w:t>CHAPTER – II - APPLICABILITY</w:t>
      </w:r>
    </w:p>
    <w:p w:rsidR="00A061E0" w:rsidRDefault="00A061E0" w:rsidP="00A061E0">
      <w:pPr>
        <w:rPr>
          <w:b/>
          <w:bCs/>
        </w:rPr>
      </w:pPr>
      <w:r>
        <w:rPr>
          <w:b/>
          <w:bCs/>
        </w:rPr>
        <w:t>CHAPTER – III - DEFINITIONS</w:t>
      </w:r>
    </w:p>
    <w:p w:rsidR="00A061E0" w:rsidRDefault="00A061E0" w:rsidP="00A061E0">
      <w:pPr>
        <w:rPr>
          <w:b/>
          <w:bCs/>
        </w:rPr>
      </w:pPr>
      <w:r>
        <w:rPr>
          <w:b/>
          <w:bCs/>
        </w:rPr>
        <w:t>CHAPTER – IV - CASH RESERVE RATIO (CRR)</w:t>
      </w:r>
    </w:p>
    <w:p w:rsidR="00A061E0" w:rsidRDefault="00A061E0" w:rsidP="00A061E0">
      <w:pPr>
        <w:rPr>
          <w:b/>
          <w:bCs/>
        </w:rPr>
      </w:pPr>
      <w:r>
        <w:rPr>
          <w:b/>
          <w:bCs/>
        </w:rPr>
        <w:t>CHAPTER – V - STATUTORY LIQUIDITY RATIO (SLR)</w:t>
      </w:r>
    </w:p>
    <w:p w:rsidR="00A061E0" w:rsidRDefault="00A061E0" w:rsidP="00A061E0">
      <w:pPr>
        <w:rPr>
          <w:b/>
          <w:bCs/>
        </w:rPr>
      </w:pPr>
      <w:r>
        <w:rPr>
          <w:b/>
          <w:bCs/>
        </w:rPr>
        <w:t>CHAPTER – VI - PROCEDURE FOR COMPUTATION OF SLR</w:t>
      </w:r>
    </w:p>
    <w:p w:rsidR="00A061E0" w:rsidRDefault="00A061E0" w:rsidP="00A061E0">
      <w:pPr>
        <w:rPr>
          <w:b/>
          <w:bCs/>
        </w:rPr>
      </w:pPr>
      <w:r>
        <w:rPr>
          <w:b/>
          <w:bCs/>
        </w:rPr>
        <w:t>CHAPTER – VII REPORTING - FORTNIGHTLY CRR RETURN IN FORM A / FORM B/ FORM I</w:t>
      </w:r>
    </w:p>
    <w:p w:rsidR="00A061E0" w:rsidRDefault="00A061E0" w:rsidP="00A061E0">
      <w:pPr>
        <w:rPr>
          <w:b/>
          <w:bCs/>
        </w:rPr>
      </w:pPr>
      <w:r>
        <w:rPr>
          <w:b/>
          <w:bCs/>
        </w:rPr>
        <w:t>CHAPTER – VIII - PENALTIES</w:t>
      </w:r>
    </w:p>
    <w:p w:rsidR="00A061E0" w:rsidRDefault="00A061E0" w:rsidP="00A061E0">
      <w:pPr>
        <w:rPr>
          <w:b/>
          <w:bCs/>
        </w:rPr>
      </w:pPr>
      <w:r>
        <w:rPr>
          <w:b/>
          <w:bCs/>
        </w:rPr>
        <w:t>CHAPTER – IX - REPEAL AND OTHER PROVISIONS</w:t>
      </w:r>
    </w:p>
    <w:p w:rsidR="00A061E0" w:rsidRDefault="00A061E0" w:rsidP="00A061E0"/>
    <w:p w:rsidR="00A061E0" w:rsidRDefault="00A061E0" w:rsidP="00A061E0">
      <w:r>
        <w:t>Details under each of the above chapters can be read from the below link</w:t>
      </w:r>
    </w:p>
    <w:p w:rsidR="00A061E0" w:rsidRDefault="00A061E0" w:rsidP="00A061E0">
      <w:r>
        <w:t xml:space="preserve">Reference link: </w:t>
      </w:r>
      <w:hyperlink r:id="rId70" w:history="1">
        <w:r>
          <w:rPr>
            <w:rStyle w:val="Hyperlink"/>
          </w:rPr>
          <w:t>https://www.rbi.org.in/Scripts/NotificationUser.aspx?Id=12131&amp;Mode=0</w:t>
        </w:r>
      </w:hyperlink>
    </w:p>
    <w:p w:rsidR="00A061E0" w:rsidRDefault="00A061E0" w:rsidP="00A061E0"/>
    <w:p w:rsidR="00A061E0" w:rsidRDefault="00A061E0" w:rsidP="00A061E0">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Cassette - Swaps in ATMs</w:t>
      </w:r>
    </w:p>
    <w:p w:rsidR="00A061E0" w:rsidRDefault="00A061E0" w:rsidP="00A061E0">
      <w:r>
        <w:t>RBI/2021-22/71</w:t>
      </w:r>
      <w:r>
        <w:br/>
        <w:t>DCM (</w:t>
      </w:r>
      <w:proofErr w:type="spellStart"/>
      <w:r>
        <w:t>Plg</w:t>
      </w:r>
      <w:proofErr w:type="spellEnd"/>
      <w:r>
        <w:t xml:space="preserve">.) </w:t>
      </w:r>
      <w:proofErr w:type="gramStart"/>
      <w:r>
        <w:t>No.S</w:t>
      </w:r>
      <w:proofErr w:type="gramEnd"/>
      <w:r>
        <w:t>39/10.25.007/2021-22</w:t>
      </w:r>
    </w:p>
    <w:p w:rsidR="00A061E0" w:rsidRDefault="00A061E0" w:rsidP="00A061E0">
      <w:r>
        <w:t>July 12, 2021</w:t>
      </w:r>
    </w:p>
    <w:p w:rsidR="00A061E0" w:rsidRDefault="00A061E0" w:rsidP="00A061E0">
      <w:r>
        <w:t>The Chairman / Managing Director &amp; Chief Executive Officer</w:t>
      </w:r>
      <w:r>
        <w:br/>
        <w:t>All Scheduled Commercial Banks including RRBs</w:t>
      </w:r>
      <w:r>
        <w:br/>
        <w:t>Urban Co-operative Banks / State Co-operative Banks /</w:t>
      </w:r>
      <w:r>
        <w:br/>
        <w:t>District Central Co-operative Banks.</w:t>
      </w:r>
    </w:p>
    <w:p w:rsidR="00A061E0" w:rsidRDefault="00A061E0" w:rsidP="00A061E0">
      <w:r>
        <w:t>Madam / Dear Sir,</w:t>
      </w:r>
    </w:p>
    <w:p w:rsidR="00A061E0" w:rsidRDefault="00A061E0" w:rsidP="00A061E0">
      <w:pPr>
        <w:rPr>
          <w:b/>
          <w:bCs/>
        </w:rPr>
      </w:pPr>
      <w:r>
        <w:rPr>
          <w:b/>
          <w:bCs/>
        </w:rPr>
        <w:t>Cassette - Swaps in ATMs</w:t>
      </w:r>
    </w:p>
    <w:p w:rsidR="00A061E0" w:rsidRDefault="00A061E0" w:rsidP="00A061E0">
      <w:r>
        <w:t>Please refer to our </w:t>
      </w:r>
      <w:hyperlink r:id="rId71" w:tgtFrame="_blank" w:history="1">
        <w:r>
          <w:rPr>
            <w:rStyle w:val="Hyperlink"/>
          </w:rPr>
          <w:t>circular RBI/2017-18/162/DCM (</w:t>
        </w:r>
        <w:proofErr w:type="spellStart"/>
        <w:r>
          <w:rPr>
            <w:rStyle w:val="Hyperlink"/>
          </w:rPr>
          <w:t>Plg</w:t>
        </w:r>
        <w:proofErr w:type="spellEnd"/>
        <w:r>
          <w:rPr>
            <w:rStyle w:val="Hyperlink"/>
          </w:rPr>
          <w:t>.) No.3641/10.25.007/2017-18 dated April 12, 2018</w:t>
        </w:r>
      </w:hyperlink>
      <w: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rsidR="00A061E0" w:rsidRDefault="00A061E0" w:rsidP="00A061E0">
      <w:r>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rsidR="00A061E0" w:rsidRDefault="00A061E0" w:rsidP="00A061E0">
      <w:r>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72" w:history="1">
        <w:r>
          <w:rPr>
            <w:rStyle w:val="Hyperlink"/>
          </w:rPr>
          <w:t>e-mail</w:t>
        </w:r>
      </w:hyperlink>
      <w:r>
        <w:t>. No hard copy need be sent.</w:t>
      </w:r>
    </w:p>
    <w:p w:rsidR="00A061E0" w:rsidRDefault="00A061E0" w:rsidP="00A061E0">
      <w:r>
        <w:t>Yours faithfully,</w:t>
      </w:r>
    </w:p>
    <w:p w:rsidR="00A061E0" w:rsidRDefault="00A061E0" w:rsidP="00A061E0">
      <w:r>
        <w:t>(</w:t>
      </w:r>
      <w:proofErr w:type="spellStart"/>
      <w:r>
        <w:t>Subrata</w:t>
      </w:r>
      <w:proofErr w:type="spellEnd"/>
      <w:r>
        <w:t xml:space="preserve"> Das)</w:t>
      </w:r>
      <w:r>
        <w:br/>
        <w:t>Chief General Manager-in-Charge</w:t>
      </w:r>
    </w:p>
    <w:p w:rsidR="00A061E0" w:rsidRDefault="00A061E0" w:rsidP="00A061E0">
      <w:r>
        <w:t xml:space="preserve">Reference link: </w:t>
      </w:r>
      <w:hyperlink r:id="rId73" w:history="1">
        <w:r>
          <w:rPr>
            <w:rStyle w:val="Hyperlink"/>
          </w:rPr>
          <w:t>https://www.rbi.org.in/Scripts/NotificationUser.aspx?Id=12130&amp;Mode=0</w:t>
        </w:r>
      </w:hyperlink>
    </w:p>
    <w:p w:rsidR="00A061E0" w:rsidRDefault="00A061E0" w:rsidP="00A061E0"/>
    <w:p w:rsidR="00A061E0" w:rsidRDefault="00A061E0" w:rsidP="00A061E0">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A061E0" w:rsidRDefault="00A061E0" w:rsidP="00A061E0">
      <w:r>
        <w:t>RBI/2021-2022/67</w:t>
      </w:r>
      <w:r>
        <w:br/>
        <w:t>FIDD.MSME &amp; NFS.BC.No.13/06.02.31/2021-22</w:t>
      </w:r>
    </w:p>
    <w:p w:rsidR="00A061E0" w:rsidRDefault="00A061E0" w:rsidP="00A061E0">
      <w:r>
        <w:t>July 7, 2021</w:t>
      </w:r>
    </w:p>
    <w:p w:rsidR="00A061E0" w:rsidRDefault="00A061E0" w:rsidP="00A061E0">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A061E0" w:rsidRDefault="00A061E0" w:rsidP="00A061E0">
      <w:r>
        <w:t>Dear Sir/Madam,</w:t>
      </w:r>
    </w:p>
    <w:p w:rsidR="00A061E0" w:rsidRDefault="00A061E0" w:rsidP="00A061E0">
      <w:pPr>
        <w:rPr>
          <w:b/>
          <w:bCs/>
        </w:rPr>
      </w:pPr>
      <w:r>
        <w:rPr>
          <w:b/>
          <w:bCs/>
        </w:rPr>
        <w:t>New Definition of Micro, Small and Medium Enterprises - Addition of Retail and Wholesale Trade</w:t>
      </w:r>
    </w:p>
    <w:p w:rsidR="00A061E0" w:rsidRDefault="00A061E0" w:rsidP="00A061E0">
      <w:r>
        <w:t>Please refer to the </w:t>
      </w:r>
      <w:hyperlink r:id="rId74" w:tgtFrame="_blank" w:history="1">
        <w:r>
          <w:rPr>
            <w:rStyle w:val="Hyperlink"/>
          </w:rPr>
          <w:t>circulars FIDD.MSME &amp; NFS.BC.No.3/06.02.31/2020-21 dated July 2, 2020</w:t>
        </w:r>
      </w:hyperlink>
      <w:r>
        <w:t> on ‘Credit flow to Micro, Small and Medium Enterprises Sector’ and </w:t>
      </w:r>
      <w:hyperlink r:id="rId75" w:tgtFrame="_blank" w:history="1">
        <w:r>
          <w:rPr>
            <w:rStyle w:val="Hyperlink"/>
          </w:rPr>
          <w:t>FIDD.MSME &amp; NFS.BC.No.4/06.02.31/2020-21 dated August 21, 2020</w:t>
        </w:r>
      </w:hyperlink>
      <w:r>
        <w:t>, on ‘New Definition of Micro, Small and Medium Enterprises- clarifications’.</w:t>
      </w:r>
    </w:p>
    <w:p w:rsidR="00A061E0" w:rsidRDefault="00A061E0" w:rsidP="00A061E0">
      <w:r>
        <w:t>2. In this connection, Ministry of Micro, Small and Medium Enterprises vide </w:t>
      </w:r>
      <w:hyperlink r:id="rId76"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A061E0" w:rsidTr="00A061E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Wholesale and retail trade and repair of motor vehicles and motorcycles</w:t>
            </w:r>
          </w:p>
        </w:tc>
      </w:tr>
      <w:tr w:rsidR="00A061E0" w:rsidTr="00A061E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Wholesale trade except of motor vehicles and motorcycles</w:t>
            </w:r>
          </w:p>
        </w:tc>
      </w:tr>
      <w:tr w:rsidR="00A061E0" w:rsidTr="00A061E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061E0" w:rsidRDefault="00A061E0">
            <w:r>
              <w:t>Retail trade except of motor vehicles and motorcycles</w:t>
            </w:r>
          </w:p>
        </w:tc>
      </w:tr>
    </w:tbl>
    <w:p w:rsidR="00A061E0" w:rsidRDefault="00A061E0" w:rsidP="00A061E0">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A061E0" w:rsidRDefault="00A061E0" w:rsidP="00A061E0">
      <w:r>
        <w:t>Yours faithfully</w:t>
      </w:r>
    </w:p>
    <w:p w:rsidR="00A061E0" w:rsidRDefault="00A061E0" w:rsidP="00A061E0">
      <w:r>
        <w:t xml:space="preserve">(Kaya </w:t>
      </w:r>
      <w:proofErr w:type="spellStart"/>
      <w:r>
        <w:t>Tripathi</w:t>
      </w:r>
      <w:proofErr w:type="spellEnd"/>
      <w:r>
        <w:t>)</w:t>
      </w:r>
      <w:r>
        <w:br/>
        <w:t>Chief General Manager</w:t>
      </w:r>
    </w:p>
    <w:p w:rsidR="00A061E0" w:rsidRDefault="00A061E0" w:rsidP="00A061E0">
      <w:r>
        <w:t xml:space="preserve">Reference link: </w:t>
      </w:r>
      <w:hyperlink r:id="rId77" w:history="1">
        <w:r>
          <w:rPr>
            <w:rStyle w:val="Hyperlink"/>
          </w:rPr>
          <w:t>https://www.rbi.org.in/Scripts/NotificationUser.aspx?Id=12126&amp;Mode=0</w:t>
        </w:r>
      </w:hyperlink>
    </w:p>
    <w:p w:rsidR="00A061E0" w:rsidRDefault="00A061E0" w:rsidP="00A061E0"/>
    <w:p w:rsidR="00A061E0" w:rsidRDefault="00A061E0" w:rsidP="00A061E0">
      <w:r>
        <w:br w:type="page"/>
      </w:r>
    </w:p>
    <w:p w:rsidR="00A061E0" w:rsidRDefault="00A061E0" w:rsidP="00A061E0">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rsidR="00A061E0" w:rsidRDefault="00A061E0" w:rsidP="00A061E0">
      <w:r>
        <w:t>RBI/2021-22/66</w:t>
      </w:r>
      <w:r>
        <w:br/>
        <w:t>DoR.SPE.REC.29/13.03.00/2021-2022</w:t>
      </w:r>
    </w:p>
    <w:p w:rsidR="00A061E0" w:rsidRDefault="00A061E0" w:rsidP="00A061E0">
      <w:r>
        <w:t>July 02, 2021</w:t>
      </w:r>
    </w:p>
    <w:p w:rsidR="00A061E0" w:rsidRDefault="00A061E0" w:rsidP="00A061E0">
      <w:r>
        <w:t>All Scheduled Commercial Banks (including RRBs)</w:t>
      </w:r>
      <w:r>
        <w:br/>
        <w:t>All Small Finance Banks</w:t>
      </w:r>
      <w:r>
        <w:br/>
        <w:t>All Local Area Banks</w:t>
      </w:r>
      <w:r>
        <w:br/>
        <w:t>All Primary (Urban) Co-operative Banks/ District Central Co-operative Banks/ State Co-operative Banks</w:t>
      </w:r>
    </w:p>
    <w:p w:rsidR="00A061E0" w:rsidRDefault="00A061E0" w:rsidP="00A061E0">
      <w:r>
        <w:t>Dear Sir / Madam,</w:t>
      </w:r>
    </w:p>
    <w:p w:rsidR="00A061E0" w:rsidRDefault="00A061E0" w:rsidP="00A061E0">
      <w:pPr>
        <w:rPr>
          <w:b/>
          <w:bCs/>
        </w:rPr>
      </w:pPr>
      <w:r>
        <w:rPr>
          <w:b/>
          <w:bCs/>
        </w:rPr>
        <w:t>Review of Instructions on Interest on overdue domestic deposits</w:t>
      </w:r>
    </w:p>
    <w:p w:rsidR="00A061E0" w:rsidRDefault="00A061E0" w:rsidP="00A061E0">
      <w:r>
        <w:t>Please refer to Section 9 (b) of </w:t>
      </w:r>
      <w:hyperlink r:id="rId78" w:tgtFrame="_blank" w:history="1">
        <w:r>
          <w:rPr>
            <w:rStyle w:val="Hyperlink"/>
          </w:rPr>
          <w:t>Master Direction - Reserve Bank of India (Interest Rate on Deposits) Directions, 2016 dated March 3, 2016</w:t>
        </w:r>
      </w:hyperlink>
      <w:r>
        <w:t>, and the </w:t>
      </w:r>
      <w:hyperlink r:id="rId79" w:tgtFrame="_blank" w:history="1">
        <w:r>
          <w:rPr>
            <w:rStyle w:val="Hyperlink"/>
          </w:rPr>
          <w:t>Master Direction - Reserve Bank of India (Co-operative Banks - Interest Rate on Deposits) Directions, 2016 dated May 12, 2016</w:t>
        </w:r>
      </w:hyperlink>
      <w:r>
        <w:t> in terms of which if a Term Deposit matures and proceeds are unpaid, the amount left unclaimed with the bank shall attract rate of interest as applicable to savings deposits.</w:t>
      </w:r>
    </w:p>
    <w:p w:rsidR="00A061E0" w:rsidRDefault="00A061E0" w:rsidP="00A061E0">
      <w:r>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rsidR="00A061E0" w:rsidRDefault="00A061E0" w:rsidP="00A061E0">
      <w:r>
        <w:t>3. The relevant section of Master Directions are amended accordingly as indicated in the </w:t>
      </w:r>
      <w:hyperlink r:id="rId80" w:anchor="AN1" w:history="1">
        <w:r>
          <w:rPr>
            <w:rStyle w:val="Hyperlink"/>
          </w:rPr>
          <w:t>Annex</w:t>
        </w:r>
      </w:hyperlink>
      <w:r>
        <w:t>.</w:t>
      </w:r>
    </w:p>
    <w:p w:rsidR="00A061E0" w:rsidRDefault="00A061E0" w:rsidP="00A061E0">
      <w:r>
        <w:t>Yours faithfully,</w:t>
      </w:r>
    </w:p>
    <w:p w:rsidR="00A061E0" w:rsidRDefault="00A061E0" w:rsidP="00A061E0">
      <w:r>
        <w:t>(Thomas Mathew)</w:t>
      </w:r>
      <w:r>
        <w:br/>
        <w:t>Chief General Manager</w:t>
      </w:r>
    </w:p>
    <w:p w:rsidR="00A061E0" w:rsidRDefault="00A061E0" w:rsidP="00A061E0">
      <w:r>
        <w:t xml:space="preserve">Reference link: </w:t>
      </w:r>
      <w:hyperlink r:id="rId81" w:history="1">
        <w:r>
          <w:rPr>
            <w:rStyle w:val="Hyperlink"/>
          </w:rPr>
          <w:t>https://www.rbi.org.in/Scripts/NotificationUser.aspx?Id=12125&amp;Mode=0</w:t>
        </w:r>
      </w:hyperlink>
    </w:p>
    <w:p w:rsidR="00A061E0" w:rsidRDefault="00A061E0" w:rsidP="00A061E0"/>
    <w:p w:rsidR="00E067C2" w:rsidRDefault="00E067C2"/>
    <w:sectPr w:rsidR="00E06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5A"/>
    <w:rsid w:val="0027555A"/>
    <w:rsid w:val="004B108D"/>
    <w:rsid w:val="00A061E0"/>
    <w:rsid w:val="00E0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8141"/>
  <w15:chartTrackingRefBased/>
  <w15:docId w15:val="{2DF71AB0-C27E-42DC-8548-4A225E8B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5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555A"/>
    <w:rPr>
      <w:color w:val="0563C1" w:themeColor="hyperlink"/>
      <w:u w:val="single"/>
    </w:rPr>
  </w:style>
  <w:style w:type="table" w:styleId="TableGrid">
    <w:name w:val="Table Grid"/>
    <w:basedOn w:val="TableNormal"/>
    <w:uiPriority w:val="39"/>
    <w:rsid w:val="004B1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0043">
      <w:bodyDiv w:val="1"/>
      <w:marLeft w:val="0"/>
      <w:marRight w:val="0"/>
      <w:marTop w:val="0"/>
      <w:marBottom w:val="0"/>
      <w:divBdr>
        <w:top w:val="none" w:sz="0" w:space="0" w:color="auto"/>
        <w:left w:val="none" w:sz="0" w:space="0" w:color="auto"/>
        <w:bottom w:val="none" w:sz="0" w:space="0" w:color="auto"/>
        <w:right w:val="none" w:sz="0" w:space="0" w:color="auto"/>
      </w:divBdr>
    </w:div>
    <w:div w:id="213155090">
      <w:bodyDiv w:val="1"/>
      <w:marLeft w:val="0"/>
      <w:marRight w:val="0"/>
      <w:marTop w:val="0"/>
      <w:marBottom w:val="0"/>
      <w:divBdr>
        <w:top w:val="none" w:sz="0" w:space="0" w:color="auto"/>
        <w:left w:val="none" w:sz="0" w:space="0" w:color="auto"/>
        <w:bottom w:val="none" w:sz="0" w:space="0" w:color="auto"/>
        <w:right w:val="none" w:sz="0" w:space="0" w:color="auto"/>
      </w:divBdr>
    </w:div>
    <w:div w:id="257980841">
      <w:bodyDiv w:val="1"/>
      <w:marLeft w:val="0"/>
      <w:marRight w:val="0"/>
      <w:marTop w:val="0"/>
      <w:marBottom w:val="0"/>
      <w:divBdr>
        <w:top w:val="none" w:sz="0" w:space="0" w:color="auto"/>
        <w:left w:val="none" w:sz="0" w:space="0" w:color="auto"/>
        <w:bottom w:val="none" w:sz="0" w:space="0" w:color="auto"/>
        <w:right w:val="none" w:sz="0" w:space="0" w:color="auto"/>
      </w:divBdr>
    </w:div>
    <w:div w:id="338777513">
      <w:bodyDiv w:val="1"/>
      <w:marLeft w:val="0"/>
      <w:marRight w:val="0"/>
      <w:marTop w:val="0"/>
      <w:marBottom w:val="0"/>
      <w:divBdr>
        <w:top w:val="none" w:sz="0" w:space="0" w:color="auto"/>
        <w:left w:val="none" w:sz="0" w:space="0" w:color="auto"/>
        <w:bottom w:val="none" w:sz="0" w:space="0" w:color="auto"/>
        <w:right w:val="none" w:sz="0" w:space="0" w:color="auto"/>
      </w:divBdr>
    </w:div>
    <w:div w:id="404373524">
      <w:bodyDiv w:val="1"/>
      <w:marLeft w:val="0"/>
      <w:marRight w:val="0"/>
      <w:marTop w:val="0"/>
      <w:marBottom w:val="0"/>
      <w:divBdr>
        <w:top w:val="none" w:sz="0" w:space="0" w:color="auto"/>
        <w:left w:val="none" w:sz="0" w:space="0" w:color="auto"/>
        <w:bottom w:val="none" w:sz="0" w:space="0" w:color="auto"/>
        <w:right w:val="none" w:sz="0" w:space="0" w:color="auto"/>
      </w:divBdr>
    </w:div>
    <w:div w:id="624120885">
      <w:bodyDiv w:val="1"/>
      <w:marLeft w:val="0"/>
      <w:marRight w:val="0"/>
      <w:marTop w:val="0"/>
      <w:marBottom w:val="0"/>
      <w:divBdr>
        <w:top w:val="none" w:sz="0" w:space="0" w:color="auto"/>
        <w:left w:val="none" w:sz="0" w:space="0" w:color="auto"/>
        <w:bottom w:val="none" w:sz="0" w:space="0" w:color="auto"/>
        <w:right w:val="none" w:sz="0" w:space="0" w:color="auto"/>
      </w:divBdr>
    </w:div>
    <w:div w:id="714815468">
      <w:bodyDiv w:val="1"/>
      <w:marLeft w:val="0"/>
      <w:marRight w:val="0"/>
      <w:marTop w:val="0"/>
      <w:marBottom w:val="0"/>
      <w:divBdr>
        <w:top w:val="none" w:sz="0" w:space="0" w:color="auto"/>
        <w:left w:val="none" w:sz="0" w:space="0" w:color="auto"/>
        <w:bottom w:val="none" w:sz="0" w:space="0" w:color="auto"/>
        <w:right w:val="none" w:sz="0" w:space="0" w:color="auto"/>
      </w:divBdr>
    </w:div>
    <w:div w:id="1273052058">
      <w:bodyDiv w:val="1"/>
      <w:marLeft w:val="0"/>
      <w:marRight w:val="0"/>
      <w:marTop w:val="0"/>
      <w:marBottom w:val="0"/>
      <w:divBdr>
        <w:top w:val="none" w:sz="0" w:space="0" w:color="auto"/>
        <w:left w:val="none" w:sz="0" w:space="0" w:color="auto"/>
        <w:bottom w:val="none" w:sz="0" w:space="0" w:color="auto"/>
        <w:right w:val="none" w:sz="0" w:space="0" w:color="auto"/>
      </w:divBdr>
    </w:div>
    <w:div w:id="1317610785">
      <w:bodyDiv w:val="1"/>
      <w:marLeft w:val="0"/>
      <w:marRight w:val="0"/>
      <w:marTop w:val="0"/>
      <w:marBottom w:val="0"/>
      <w:divBdr>
        <w:top w:val="none" w:sz="0" w:space="0" w:color="auto"/>
        <w:left w:val="none" w:sz="0" w:space="0" w:color="auto"/>
        <w:bottom w:val="none" w:sz="0" w:space="0" w:color="auto"/>
        <w:right w:val="none" w:sz="0" w:space="0" w:color="auto"/>
      </w:divBdr>
    </w:div>
    <w:div w:id="1404597519">
      <w:bodyDiv w:val="1"/>
      <w:marLeft w:val="0"/>
      <w:marRight w:val="0"/>
      <w:marTop w:val="0"/>
      <w:marBottom w:val="0"/>
      <w:divBdr>
        <w:top w:val="none" w:sz="0" w:space="0" w:color="auto"/>
        <w:left w:val="none" w:sz="0" w:space="0" w:color="auto"/>
        <w:bottom w:val="none" w:sz="0" w:space="0" w:color="auto"/>
        <w:right w:val="none" w:sz="0" w:space="0" w:color="auto"/>
      </w:divBdr>
    </w:div>
    <w:div w:id="1647054918">
      <w:bodyDiv w:val="1"/>
      <w:marLeft w:val="0"/>
      <w:marRight w:val="0"/>
      <w:marTop w:val="0"/>
      <w:marBottom w:val="0"/>
      <w:divBdr>
        <w:top w:val="none" w:sz="0" w:space="0" w:color="auto"/>
        <w:left w:val="none" w:sz="0" w:space="0" w:color="auto"/>
        <w:bottom w:val="none" w:sz="0" w:space="0" w:color="auto"/>
        <w:right w:val="none" w:sz="0" w:space="0" w:color="auto"/>
      </w:divBdr>
    </w:div>
    <w:div w:id="1840541816">
      <w:bodyDiv w:val="1"/>
      <w:marLeft w:val="0"/>
      <w:marRight w:val="0"/>
      <w:marTop w:val="0"/>
      <w:marBottom w:val="0"/>
      <w:divBdr>
        <w:top w:val="none" w:sz="0" w:space="0" w:color="auto"/>
        <w:left w:val="none" w:sz="0" w:space="0" w:color="auto"/>
        <w:bottom w:val="none" w:sz="0" w:space="0" w:color="auto"/>
        <w:right w:val="none" w:sz="0" w:space="0" w:color="auto"/>
      </w:divBdr>
    </w:div>
    <w:div w:id="1919704766">
      <w:bodyDiv w:val="1"/>
      <w:marLeft w:val="0"/>
      <w:marRight w:val="0"/>
      <w:marTop w:val="0"/>
      <w:marBottom w:val="0"/>
      <w:divBdr>
        <w:top w:val="none" w:sz="0" w:space="0" w:color="auto"/>
        <w:left w:val="none" w:sz="0" w:space="0" w:color="auto"/>
        <w:bottom w:val="none" w:sz="0" w:space="0" w:color="auto"/>
        <w:right w:val="none" w:sz="0" w:space="0" w:color="auto"/>
      </w:divBdr>
    </w:div>
    <w:div w:id="1951087217">
      <w:bodyDiv w:val="1"/>
      <w:marLeft w:val="0"/>
      <w:marRight w:val="0"/>
      <w:marTop w:val="0"/>
      <w:marBottom w:val="0"/>
      <w:divBdr>
        <w:top w:val="none" w:sz="0" w:space="0" w:color="auto"/>
        <w:left w:val="none" w:sz="0" w:space="0" w:color="auto"/>
        <w:bottom w:val="none" w:sz="0" w:space="0" w:color="auto"/>
        <w:right w:val="none" w:sz="0" w:space="0" w:color="auto"/>
      </w:divBdr>
    </w:div>
    <w:div w:id="21221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PressReleaseDisplay.aspx?prid=52686" TargetMode="External"/><Relationship Id="rId18" Type="http://schemas.openxmlformats.org/officeDocument/2006/relationships/hyperlink" Target="https://rbi.org.in/Scripts/NotificationUser.aspx?Id=11461&amp;Mode=0" TargetMode="External"/><Relationship Id="rId26" Type="http://schemas.openxmlformats.org/officeDocument/2006/relationships/hyperlink" Target="https://rbi.org.in/Scripts/BS_ViewMasDirections.aspx?id=10394" TargetMode="External"/><Relationship Id="rId39" Type="http://schemas.openxmlformats.org/officeDocument/2006/relationships/hyperlink" Target="https://www.rbi.org.in/Scripts/NotificationUser.aspx?Id=8968&amp;Mode=0" TargetMode="External"/><Relationship Id="rId21" Type="http://schemas.openxmlformats.org/officeDocument/2006/relationships/hyperlink" Target="https://rbidocs.rbi.org.in/rdocs/Content/PDFs/OSDT31012019.pdf" TargetMode="External"/><Relationship Id="rId34" Type="http://schemas.openxmlformats.org/officeDocument/2006/relationships/hyperlink" Target="https://www.rbi.org.in/Scripts/NotificationUser.aspx?Id=12183&amp;Mode=0" TargetMode="External"/><Relationship Id="rId42" Type="http://schemas.openxmlformats.org/officeDocument/2006/relationships/hyperlink" Target="https://www.rbi.org.in/Scripts/NotificationUser.aspx?Id=12171&amp;Mode=0" TargetMode="External"/><Relationship Id="rId47" Type="http://schemas.openxmlformats.org/officeDocument/2006/relationships/hyperlink" Target="https://rbidocs.rbi.org.in/rdocs/content/pdfs/Gazette28092021.pdf" TargetMode="External"/><Relationship Id="rId50" Type="http://schemas.openxmlformats.org/officeDocument/2006/relationships/hyperlink" Target="https://www.rbi.org.in/Scripts/NotificationUser.aspx?Id=12166&amp;Mode=0" TargetMode="External"/><Relationship Id="rId55" Type="http://schemas.openxmlformats.org/officeDocument/2006/relationships/hyperlink" Target="https://rbi.org.in/Scripts/NotificationUser.aspx?Id=11720&amp;Mode=0" TargetMode="External"/><Relationship Id="rId63" Type="http://schemas.openxmlformats.org/officeDocument/2006/relationships/hyperlink" Target="https://www.rbi.org.in/Scripts/NotificationUser.aspx?Id=12146&amp;Mode=0" TargetMode="External"/><Relationship Id="rId68" Type="http://schemas.openxmlformats.org/officeDocument/2006/relationships/hyperlink" Target="https://www.rbi.org.in/Scripts/NotificationUser.aspx?Id=12007&amp;Mode=0" TargetMode="External"/><Relationship Id="rId76" Type="http://schemas.openxmlformats.org/officeDocument/2006/relationships/hyperlink" Target="https://rbidocs.rbi.org.in/rdocs/content/pdfs/OMTRADER07072021.pdf" TargetMode="External"/><Relationship Id="rId7" Type="http://schemas.openxmlformats.org/officeDocument/2006/relationships/hyperlink" Target="https://www.rbi.org.in/Scripts/NotificationUser.aspx?Id=12090&amp;Mode=0" TargetMode="External"/><Relationship Id="rId71" Type="http://schemas.openxmlformats.org/officeDocument/2006/relationships/hyperlink" Target="https://rbi.org.in/Scripts/NotificationUser.aspx?Id=11256&amp;Mode=0" TargetMode="External"/><Relationship Id="rId2" Type="http://schemas.openxmlformats.org/officeDocument/2006/relationships/styles" Target="styles.xml"/><Relationship Id="rId16" Type="http://schemas.openxmlformats.org/officeDocument/2006/relationships/hyperlink" Target="https://www.rbi.org.in/Scripts/NotificationUser.aspx?Id=12194&amp;Mode=0" TargetMode="External"/><Relationship Id="rId29" Type="http://schemas.openxmlformats.org/officeDocument/2006/relationships/hyperlink" Target="https://www.rbi.org.in/Scripts/NotificationUser.aspx?Id=11945&amp;Mode=0" TargetMode="External"/><Relationship Id="rId11" Type="http://schemas.openxmlformats.org/officeDocument/2006/relationships/hyperlink" Target="https://www.rbi.org.in/Scripts/BS_ViewMasDirections.aspx?id=12131" TargetMode="External"/><Relationship Id="rId24" Type="http://schemas.openxmlformats.org/officeDocument/2006/relationships/hyperlink" Target="https://www.rbi.org.in/Scripts/NotificationUser.aspx?Id=12192&amp;Mode=0" TargetMode="External"/><Relationship Id="rId32" Type="http://schemas.openxmlformats.org/officeDocument/2006/relationships/hyperlink" Target="https://www.rbi.org.in/Scripts/BS_ViewMasDirections.aspx?id=10084" TargetMode="External"/><Relationship Id="rId37" Type="http://schemas.openxmlformats.org/officeDocument/2006/relationships/hyperlink" Target="https://www.rbi.org.in/Scripts/NotificationUser.aspx?Id=12181&amp;Mode=0" TargetMode="External"/><Relationship Id="rId40" Type="http://schemas.openxmlformats.org/officeDocument/2006/relationships/hyperlink" Target="https://www.rbi.org.in/Scripts/NotificationUser.aspx?Id=12178&amp;Mode=0" TargetMode="External"/><Relationship Id="rId45" Type="http://schemas.openxmlformats.org/officeDocument/2006/relationships/hyperlink" Target="https://www.rbi.org.in/Scripts/NotificationUser.aspx?Id=10256&amp;Mode=0" TargetMode="External"/><Relationship Id="rId53" Type="http://schemas.openxmlformats.org/officeDocument/2006/relationships/hyperlink" Target="https://www.rbi.org.in/Scripts/NotificationUser.aspx?Id=12165&amp;Mode=0" TargetMode="External"/><Relationship Id="rId58" Type="http://schemas.openxmlformats.org/officeDocument/2006/relationships/hyperlink" Target="https://www.rbi.org.in/Scripts/NotificationUser.aspx?Id=12155&amp;Mode=0" TargetMode="External"/><Relationship Id="rId66" Type="http://schemas.openxmlformats.org/officeDocument/2006/relationships/hyperlink" Target="https://www.rbi.org.in/Scripts/NotificationUser.aspx?Id=11945&amp;Mode=0" TargetMode="External"/><Relationship Id="rId74" Type="http://schemas.openxmlformats.org/officeDocument/2006/relationships/hyperlink" Target="https://www.rbi.org.in/Scripts/NotificationUser.aspx?Id=11934&amp;Mode=0" TargetMode="External"/><Relationship Id="rId79" Type="http://schemas.openxmlformats.org/officeDocument/2006/relationships/hyperlink" Target="https://www.rbi.org.in/Scripts/BS_ViewMasDirections.aspx?id=10394" TargetMode="External"/><Relationship Id="rId5" Type="http://schemas.openxmlformats.org/officeDocument/2006/relationships/hyperlink" Target="https://www.rbi.org.in/Scripts/NotificationUser.aspx?Id=12083&amp;Mode=0" TargetMode="External"/><Relationship Id="rId61" Type="http://schemas.openxmlformats.org/officeDocument/2006/relationships/hyperlink" Target="https://www.rbi.org.in/Scripts/NotificationUser.aspx?Id=12146&amp;Mode=0" TargetMode="External"/><Relationship Id="rId82" Type="http://schemas.openxmlformats.org/officeDocument/2006/relationships/fontTable" Target="fontTable.xml"/><Relationship Id="rId10" Type="http://schemas.openxmlformats.org/officeDocument/2006/relationships/hyperlink" Target="https://www.rbi.org.in/Scripts/NotificationUser.aspx?Id=12142&amp;Mode=0" TargetMode="External"/><Relationship Id="rId19" Type="http://schemas.openxmlformats.org/officeDocument/2006/relationships/hyperlink" Target="https://rbidocs.rbi.org.in/rdocs/Content/PDFs/BOS2006_2302017.pdf" TargetMode="External"/><Relationship Id="rId31" Type="http://schemas.openxmlformats.org/officeDocument/2006/relationships/hyperlink" Target="https://www.rbi.org.in/Scripts/NotificationUser.aspx?Id=12184&amp;Mode=0" TargetMode="External"/><Relationship Id="rId44" Type="http://schemas.openxmlformats.org/officeDocument/2006/relationships/hyperlink" Target="https://www.rbi.org.in/Scripts/NotificationUser.aspx?Id=12171&amp;Mode=0" TargetMode="External"/><Relationship Id="rId52" Type="http://schemas.openxmlformats.org/officeDocument/2006/relationships/hyperlink" Target="https://www.rbi.org.in/Scripts/BS_PressReleaseDisplay.aspx?prid=49920" TargetMode="External"/><Relationship Id="rId60" Type="http://schemas.openxmlformats.org/officeDocument/2006/relationships/hyperlink" Target="https://www.rbi.org.in/Scripts/NotificationUser.aspx?Id=12153&amp;Mode=0" TargetMode="External"/><Relationship Id="rId65" Type="http://schemas.openxmlformats.org/officeDocument/2006/relationships/hyperlink" Target="https://www.rbi.org.in/Scripts/NotificationUser.aspx?Id=12144&amp;Mode=0" TargetMode="External"/><Relationship Id="rId73" Type="http://schemas.openxmlformats.org/officeDocument/2006/relationships/hyperlink" Target="https://www.rbi.org.in/Scripts/NotificationUser.aspx?Id=12130&amp;Mode=0" TargetMode="External"/><Relationship Id="rId78" Type="http://schemas.openxmlformats.org/officeDocument/2006/relationships/hyperlink" Target="https://www.rbi.org.in/Scripts/BS_ViewMasDirections.aspx?id=10296" TargetMode="External"/><Relationship Id="rId81" Type="http://schemas.openxmlformats.org/officeDocument/2006/relationships/hyperlink" Target="https://www.rbi.org.in/Scripts/NotificationUser.aspx?Id=12125&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09&amp;Mode=0" TargetMode="External"/><Relationship Id="rId14" Type="http://schemas.openxmlformats.org/officeDocument/2006/relationships/hyperlink" Target="https://www.rbi.org.in/Scripts/NotificationUser.aspx?Id=12207&amp;Mode=0" TargetMode="External"/><Relationship Id="rId22" Type="http://schemas.openxmlformats.org/officeDocument/2006/relationships/hyperlink" Target="https://rbidocs.rbi.org.in/rdocs/content/pdfs/RBIOS2021_121121_A.pdf" TargetMode="External"/><Relationship Id="rId27" Type="http://schemas.openxmlformats.org/officeDocument/2006/relationships/hyperlink" Target="https://www.rbi.org.in/Scripts/NotificationUser.aspx?Id=12191&amp;Mode=0" TargetMode="External"/><Relationship Id="rId30" Type="http://schemas.openxmlformats.org/officeDocument/2006/relationships/hyperlink" Target="https://www.rbi.org.in/Scripts/NotificationUser.aspx?Id=12184&amp;Mode=0" TargetMode="External"/><Relationship Id="rId35" Type="http://schemas.openxmlformats.org/officeDocument/2006/relationships/hyperlink" Target="https://www.rbi.org.in/Scripts/NotificationUser.aspx?Id=10095&amp;Mode=0" TargetMode="External"/><Relationship Id="rId43" Type="http://schemas.openxmlformats.org/officeDocument/2006/relationships/hyperlink" Target="https://www.rbi.org.in/Scripts/NotificationUser.aspx?Id=12171&amp;Mode=0" TargetMode="External"/><Relationship Id="rId48" Type="http://schemas.openxmlformats.org/officeDocument/2006/relationships/hyperlink" Target="https://www.rbi.org.in/Scripts/NotificationUser.aspx?Id=12168&amp;Mode=0" TargetMode="External"/><Relationship Id="rId56" Type="http://schemas.openxmlformats.org/officeDocument/2006/relationships/hyperlink" Target="https://www.rbi.org.in/Scripts/NotificationUser.aspx?Id=12157&amp;Mode=0" TargetMode="External"/><Relationship Id="rId64" Type="http://schemas.openxmlformats.org/officeDocument/2006/relationships/hyperlink" Target="https://www.rbi.org.in/Scripts/NotificationUser.aspx?Id=12144&amp;Mode=0" TargetMode="External"/><Relationship Id="rId69" Type="http://schemas.openxmlformats.org/officeDocument/2006/relationships/hyperlink" Target="https://www.rbi.org.in/Scripts/NotificationUser.aspx?Id=12137&amp;Mode=0" TargetMode="External"/><Relationship Id="rId77" Type="http://schemas.openxmlformats.org/officeDocument/2006/relationships/hyperlink" Target="https://www.rbi.org.in/Scripts/NotificationUser.aspx?Id=12126&amp;Mode=0" TargetMode="External"/><Relationship Id="rId8" Type="http://schemas.openxmlformats.org/officeDocument/2006/relationships/hyperlink" Target="https://www.rbi.org.in/Scripts/NotificationUser.aspx?Id=12090&amp;Mode=0" TargetMode="External"/><Relationship Id="rId51" Type="http://schemas.openxmlformats.org/officeDocument/2006/relationships/hyperlink" Target="https://www.rbi.org.in/Scripts/NotificationUser.aspx?Id=12166&amp;Mode=0" TargetMode="External"/><Relationship Id="rId72" Type="http://schemas.openxmlformats.org/officeDocument/2006/relationships/hyperlink" Target="mailto:dcmtaskforce@rbi.org.in" TargetMode="External"/><Relationship Id="rId80" Type="http://schemas.openxmlformats.org/officeDocument/2006/relationships/hyperlink" Target="https://www.rbi.org.in/Scripts/NotificationUser.aspx?Id=12125&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142&amp;Mode=0" TargetMode="External"/><Relationship Id="rId17" Type="http://schemas.openxmlformats.org/officeDocument/2006/relationships/hyperlink" Target="https://rbi.org.in/Scripts/NotificationUser.aspx?Id=11220&amp;Mode=0" TargetMode="External"/><Relationship Id="rId25" Type="http://schemas.openxmlformats.org/officeDocument/2006/relationships/hyperlink" Target="https://rbi.org.in/Scripts/BS_ViewMasDirections.aspx?id=10296" TargetMode="External"/><Relationship Id="rId33" Type="http://schemas.openxmlformats.org/officeDocument/2006/relationships/hyperlink" Target="https://www.rbi.org.in/Scripts/BS_ViewMasDirections.aspx?id=10084" TargetMode="External"/><Relationship Id="rId38" Type="http://schemas.openxmlformats.org/officeDocument/2006/relationships/hyperlink" Target="https://www.rbi.org.in/Scripts/NotificationUser.aspx?Id=12181&amp;Mode=0" TargetMode="External"/><Relationship Id="rId46" Type="http://schemas.openxmlformats.org/officeDocument/2006/relationships/hyperlink" Target="https://www.rbi.org.in/Scripts/NotificationUser.aspx?Id=12167&amp;Mode=0" TargetMode="External"/><Relationship Id="rId59" Type="http://schemas.openxmlformats.org/officeDocument/2006/relationships/hyperlink" Target="https://www.rbi.org.in/Scripts/NotificationUser.aspx?Id=12153&amp;Mode=0" TargetMode="External"/><Relationship Id="rId67" Type="http://schemas.openxmlformats.org/officeDocument/2006/relationships/hyperlink" Target="https://www.rbi.org.in/Scripts/NotificationUser.aspx?Id=11990&amp;Mode=0" TargetMode="External"/><Relationship Id="rId20" Type="http://schemas.openxmlformats.org/officeDocument/2006/relationships/hyperlink" Target="https://rbidocs.rbi.org.in/rdocs/Content/PDFs/NBFC23022018.pdf" TargetMode="External"/><Relationship Id="rId41" Type="http://schemas.openxmlformats.org/officeDocument/2006/relationships/hyperlink" Target="https://www.rbi.org.in/Scripts/BS_ViewMasCirculardetails.aspx?id=9908" TargetMode="External"/><Relationship Id="rId54" Type="http://schemas.openxmlformats.org/officeDocument/2006/relationships/hyperlink" Target="https://www.rbi.org.in/Scripts/NotificationUser.aspx?Id=12165&amp;Mode=0" TargetMode="External"/><Relationship Id="rId62" Type="http://schemas.openxmlformats.org/officeDocument/2006/relationships/hyperlink" Target="https://www.rbi.org.in/Scripts/NotificationUser.aspx?Id=12146&amp;Mode=0" TargetMode="External"/><Relationship Id="rId70" Type="http://schemas.openxmlformats.org/officeDocument/2006/relationships/hyperlink" Target="https://www.rbi.org.in/Scripts/NotificationUser.aspx?Id=12131&amp;Mode=0" TargetMode="External"/><Relationship Id="rId75" Type="http://schemas.openxmlformats.org/officeDocument/2006/relationships/hyperlink" Target="https://www.rbi.org.in/Scripts/NotificationUser.aspx?Id=11951&amp;Mode=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5" Type="http://schemas.openxmlformats.org/officeDocument/2006/relationships/hyperlink" Target="https://www.rbi.org.in/Scripts/BS_ViewMasCirculardetails.aspx?id=12171" TargetMode="External"/><Relationship Id="rId23" Type="http://schemas.openxmlformats.org/officeDocument/2006/relationships/hyperlink" Target="https://rbidocs.rbi.org.in/rdocs/content/pdfs/RBIOS2021_121121.pdf" TargetMode="External"/><Relationship Id="rId28" Type="http://schemas.openxmlformats.org/officeDocument/2006/relationships/hyperlink" Target="https://www.rbi.org.in/Scripts/NotificationUser.aspx?Id=12191&amp;Mode=0" TargetMode="External"/><Relationship Id="rId36" Type="http://schemas.openxmlformats.org/officeDocument/2006/relationships/hyperlink" Target="https://www.rbi.org.in/Scripts/NotificationUser.aspx?Id=10792&amp;Mode=0" TargetMode="External"/><Relationship Id="rId49" Type="http://schemas.openxmlformats.org/officeDocument/2006/relationships/hyperlink" Target="https://www.rbi.org.in/Scripts/BS_PressReleaseDisplay.aspx?prid=49920" TargetMode="External"/><Relationship Id="rId57" Type="http://schemas.openxmlformats.org/officeDocument/2006/relationships/hyperlink" Target="https://www.rbi.org.in/scripts/NotificationUser.aspx?Id=483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7309</Words>
  <Characters>41665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2022-02-02T08:12:00Z</dcterms:created>
  <dcterms:modified xsi:type="dcterms:W3CDTF">2022-02-08T09:33:00Z</dcterms:modified>
</cp:coreProperties>
</file>